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D3B" w14:textId="1A953CB7" w:rsidR="00E85E39" w:rsidRPr="00E85E39" w:rsidRDefault="004E7654" w:rsidP="00E85E39">
      <w:pPr>
        <w:pStyle w:val="Title"/>
      </w:pPr>
      <w:r w:rsidRPr="00E85E39">
        <w:t>RETAIN</w:t>
      </w:r>
      <w:r w:rsidR="00AF31A9" w:rsidRPr="00E85E39">
        <w:t xml:space="preserve"> Demonstration Project</w:t>
      </w:r>
      <w:r w:rsidR="00E85E39" w:rsidRPr="00E85E39">
        <w:t xml:space="preserve">s </w:t>
      </w:r>
    </w:p>
    <w:p w14:paraId="33025FC1" w14:textId="394B9F7E" w:rsidR="00AC1530" w:rsidRPr="00E85E39" w:rsidRDefault="00AC1530" w:rsidP="00E85E39">
      <w:pPr>
        <w:pStyle w:val="Title"/>
      </w:pPr>
      <w:r w:rsidRPr="00E85E39">
        <w:t xml:space="preserve">SAW/RTW </w:t>
      </w:r>
      <w:r w:rsidR="00AF31A9" w:rsidRPr="00E85E39">
        <w:t xml:space="preserve">Resource Links </w:t>
      </w:r>
    </w:p>
    <w:p w14:paraId="2297EAE8" w14:textId="1C39E71B" w:rsidR="00C93A35" w:rsidRDefault="00E85E39" w:rsidP="00FA58FF">
      <w:pPr>
        <w:pStyle w:val="NoSpacing"/>
        <w:jc w:val="center"/>
        <w:rPr>
          <w:b/>
          <w:sz w:val="24"/>
          <w:szCs w:val="18"/>
        </w:rPr>
      </w:pPr>
      <w:r>
        <w:rPr>
          <w:b/>
          <w:sz w:val="24"/>
          <w:szCs w:val="18"/>
        </w:rPr>
        <w:t>F</w:t>
      </w:r>
      <w:r w:rsidR="00AF31A9" w:rsidRPr="00E85E39">
        <w:rPr>
          <w:b/>
          <w:sz w:val="24"/>
          <w:szCs w:val="18"/>
        </w:rPr>
        <w:t xml:space="preserve">or </w:t>
      </w:r>
      <w:r>
        <w:rPr>
          <w:b/>
          <w:sz w:val="24"/>
          <w:szCs w:val="18"/>
        </w:rPr>
        <w:t xml:space="preserve">Potential </w:t>
      </w:r>
      <w:r w:rsidR="00AC1530" w:rsidRPr="00E85E39">
        <w:rPr>
          <w:b/>
          <w:sz w:val="24"/>
          <w:szCs w:val="18"/>
        </w:rPr>
        <w:t xml:space="preserve">Use by </w:t>
      </w:r>
      <w:r w:rsidR="00AF31A9" w:rsidRPr="00E85E39">
        <w:rPr>
          <w:b/>
          <w:sz w:val="24"/>
          <w:szCs w:val="18"/>
        </w:rPr>
        <w:t>RETAIN Awardees</w:t>
      </w:r>
      <w:r w:rsidR="00C93A35" w:rsidRPr="00E85E39">
        <w:rPr>
          <w:b/>
          <w:sz w:val="24"/>
          <w:szCs w:val="18"/>
        </w:rPr>
        <w:t xml:space="preserve"> </w:t>
      </w:r>
      <w:r w:rsidR="00AC1530" w:rsidRPr="00E85E39">
        <w:rPr>
          <w:b/>
          <w:sz w:val="24"/>
          <w:szCs w:val="18"/>
        </w:rPr>
        <w:t xml:space="preserve">on Public Websites, </w:t>
      </w:r>
      <w:r>
        <w:rPr>
          <w:b/>
          <w:sz w:val="24"/>
          <w:szCs w:val="18"/>
        </w:rPr>
        <w:t>Pilot Materials</w:t>
      </w:r>
      <w:r w:rsidR="00AC1530" w:rsidRPr="00E85E39">
        <w:rPr>
          <w:b/>
          <w:sz w:val="24"/>
          <w:szCs w:val="18"/>
        </w:rPr>
        <w:t>, etc.</w:t>
      </w:r>
    </w:p>
    <w:p w14:paraId="7463AA6E" w14:textId="2E8E43EF" w:rsidR="000624A2" w:rsidRDefault="000624A2" w:rsidP="00FA58FF">
      <w:pPr>
        <w:pStyle w:val="NoSpacing"/>
        <w:jc w:val="center"/>
        <w:rPr>
          <w:b/>
          <w:sz w:val="24"/>
          <w:szCs w:val="18"/>
        </w:rPr>
      </w:pPr>
    </w:p>
    <w:p w14:paraId="22D0F8F9" w14:textId="45EC376E" w:rsidR="000624A2" w:rsidRDefault="000624A2" w:rsidP="00FA58FF">
      <w:pPr>
        <w:pStyle w:val="NoSpacing"/>
        <w:jc w:val="center"/>
        <w:rPr>
          <w:b/>
          <w:sz w:val="24"/>
          <w:szCs w:val="18"/>
        </w:rPr>
      </w:pPr>
    </w:p>
    <w:p w14:paraId="11B9011C" w14:textId="7D138907" w:rsidR="000624A2" w:rsidRPr="000624A2" w:rsidRDefault="000624A2" w:rsidP="000624A2">
      <w:pPr>
        <w:pStyle w:val="Heading1"/>
        <w:rPr>
          <w:bdr w:val="none" w:sz="0" w:space="0" w:color="auto" w:frame="1"/>
          <w:shd w:val="clear" w:color="auto" w:fill="FFFFFF"/>
        </w:rPr>
      </w:pPr>
      <w:r w:rsidRPr="000624A2">
        <w:rPr>
          <w:bdr w:val="none" w:sz="0" w:space="0" w:color="auto" w:frame="1"/>
          <w:shd w:val="clear" w:color="auto" w:fill="FFFFFF"/>
        </w:rPr>
        <w:t>About This Document:</w:t>
      </w:r>
    </w:p>
    <w:p w14:paraId="717CCD2C" w14:textId="77777777" w:rsidR="000624A2" w:rsidRPr="000624A2" w:rsidRDefault="000624A2" w:rsidP="000624A2">
      <w:pPr>
        <w:pStyle w:val="NoSpacing"/>
        <w:rPr>
          <w:rFonts w:cstheme="minorHAnsi"/>
          <w:b/>
          <w:bCs/>
          <w:color w:val="000000"/>
          <w:sz w:val="28"/>
          <w:szCs w:val="28"/>
          <w:bdr w:val="none" w:sz="0" w:space="0" w:color="auto" w:frame="1"/>
          <w:shd w:val="clear" w:color="auto" w:fill="FFFFFF"/>
        </w:rPr>
      </w:pPr>
    </w:p>
    <w:p w14:paraId="12176209" w14:textId="6E68A314" w:rsidR="000624A2" w:rsidRPr="000624A2" w:rsidRDefault="000624A2" w:rsidP="000624A2">
      <w:pPr>
        <w:pStyle w:val="NoSpacing"/>
        <w:rPr>
          <w:rFonts w:cstheme="minorHAnsi"/>
          <w:b/>
          <w:szCs w:val="16"/>
        </w:rPr>
      </w:pPr>
      <w:r>
        <w:rPr>
          <w:rFonts w:cstheme="minorHAnsi"/>
          <w:color w:val="000000"/>
          <w:bdr w:val="none" w:sz="0" w:space="0" w:color="auto" w:frame="1"/>
          <w:shd w:val="clear" w:color="auto" w:fill="FFFFFF"/>
        </w:rPr>
        <w:t xml:space="preserve">In response to several technical assistance (TA) </w:t>
      </w:r>
      <w:r w:rsidRPr="000624A2">
        <w:rPr>
          <w:rFonts w:cstheme="minorHAnsi"/>
          <w:color w:val="000000"/>
          <w:bdr w:val="none" w:sz="0" w:space="0" w:color="auto" w:frame="1"/>
          <w:shd w:val="clear" w:color="auto" w:fill="FFFFFF"/>
        </w:rPr>
        <w:t>requests</w:t>
      </w:r>
      <w:r>
        <w:rPr>
          <w:rFonts w:cstheme="minorHAnsi"/>
          <w:color w:val="000000"/>
          <w:bdr w:val="none" w:sz="0" w:space="0" w:color="auto" w:frame="1"/>
          <w:shd w:val="clear" w:color="auto" w:fill="FFFFFF"/>
        </w:rPr>
        <w:t xml:space="preserve">, the RETAIN TA team has developed the following </w:t>
      </w:r>
      <w:r w:rsidRPr="000624A2">
        <w:rPr>
          <w:rFonts w:cstheme="minorHAnsi"/>
          <w:color w:val="000000"/>
          <w:bdr w:val="none" w:sz="0" w:space="0" w:color="auto" w:frame="1"/>
          <w:shd w:val="clear" w:color="auto" w:fill="FFFFFF"/>
        </w:rPr>
        <w:t xml:space="preserve">list of resource links that </w:t>
      </w:r>
      <w:r>
        <w:rPr>
          <w:rFonts w:cstheme="minorHAnsi"/>
          <w:color w:val="000000"/>
          <w:bdr w:val="none" w:sz="0" w:space="0" w:color="auto" w:frame="1"/>
          <w:shd w:val="clear" w:color="auto" w:fill="FFFFFF"/>
        </w:rPr>
        <w:t xml:space="preserve">RETAIN </w:t>
      </w:r>
      <w:r w:rsidRPr="000624A2">
        <w:rPr>
          <w:rFonts w:cstheme="minorHAnsi"/>
          <w:color w:val="000000"/>
          <w:bdr w:val="none" w:sz="0" w:space="0" w:color="auto" w:frame="1"/>
          <w:shd w:val="clear" w:color="auto" w:fill="FFFFFF"/>
        </w:rPr>
        <w:t xml:space="preserve">awardees can </w:t>
      </w:r>
      <w:r>
        <w:rPr>
          <w:rFonts w:cstheme="minorHAnsi"/>
          <w:color w:val="000000"/>
          <w:bdr w:val="none" w:sz="0" w:space="0" w:color="auto" w:frame="1"/>
          <w:shd w:val="clear" w:color="auto" w:fill="FFFFFF"/>
        </w:rPr>
        <w:t>consider referencing in their program materials.</w:t>
      </w:r>
      <w:r w:rsidR="000D6E28">
        <w:rPr>
          <w:rFonts w:cstheme="minorHAnsi"/>
          <w:color w:val="000000"/>
          <w:bdr w:val="none" w:sz="0" w:space="0" w:color="auto" w:frame="1"/>
          <w:shd w:val="clear" w:color="auto" w:fill="FFFFFF"/>
        </w:rPr>
        <w:t xml:space="preserve"> Segmented by audience, these links are intended for </w:t>
      </w:r>
      <w:r w:rsidR="00B12623">
        <w:rPr>
          <w:rFonts w:cstheme="minorHAnsi"/>
          <w:color w:val="000000"/>
          <w:bdr w:val="none" w:sz="0" w:space="0" w:color="auto" w:frame="1"/>
          <w:shd w:val="clear" w:color="auto" w:fill="FFFFFF"/>
        </w:rPr>
        <w:t xml:space="preserve">potential </w:t>
      </w:r>
      <w:r w:rsidR="000D6E28">
        <w:rPr>
          <w:rFonts w:cstheme="minorHAnsi"/>
          <w:color w:val="000000"/>
          <w:bdr w:val="none" w:sz="0" w:space="0" w:color="auto" w:frame="1"/>
          <w:shd w:val="clear" w:color="auto" w:fill="FFFFFF"/>
        </w:rPr>
        <w:t>use in the “Where to Learn More” sections of RETAIN websites, fact sheets, guides, etc.</w:t>
      </w:r>
      <w:r w:rsidR="00B12623">
        <w:rPr>
          <w:rFonts w:cstheme="minorHAnsi"/>
          <w:color w:val="000000"/>
          <w:bdr w:val="none" w:sz="0" w:space="0" w:color="auto" w:frame="1"/>
          <w:shd w:val="clear" w:color="auto" w:fill="FFFFFF"/>
        </w:rPr>
        <w:t xml:space="preserve"> We hope you’ll find them to be </w:t>
      </w:r>
      <w:r w:rsidR="00532934">
        <w:rPr>
          <w:rFonts w:cstheme="minorHAnsi"/>
          <w:color w:val="000000"/>
          <w:bdr w:val="none" w:sz="0" w:space="0" w:color="auto" w:frame="1"/>
          <w:shd w:val="clear" w:color="auto" w:fill="FFFFFF"/>
        </w:rPr>
        <w:t>useful tools for</w:t>
      </w:r>
      <w:r w:rsidR="00F2304C">
        <w:rPr>
          <w:rFonts w:cstheme="minorHAnsi"/>
          <w:color w:val="000000"/>
          <w:bdr w:val="none" w:sz="0" w:space="0" w:color="auto" w:frame="1"/>
          <w:shd w:val="clear" w:color="auto" w:fill="FFFFFF"/>
        </w:rPr>
        <w:t xml:space="preserve"> educat</w:t>
      </w:r>
      <w:r w:rsidR="00532934">
        <w:rPr>
          <w:rFonts w:cstheme="minorHAnsi"/>
          <w:color w:val="000000"/>
          <w:bdr w:val="none" w:sz="0" w:space="0" w:color="auto" w:frame="1"/>
          <w:shd w:val="clear" w:color="auto" w:fill="FFFFFF"/>
        </w:rPr>
        <w:t>ing</w:t>
      </w:r>
      <w:r w:rsidR="00F2304C">
        <w:rPr>
          <w:rFonts w:cstheme="minorHAnsi"/>
          <w:color w:val="000000"/>
          <w:bdr w:val="none" w:sz="0" w:space="0" w:color="auto" w:frame="1"/>
          <w:shd w:val="clear" w:color="auto" w:fill="FFFFFF"/>
        </w:rPr>
        <w:t xml:space="preserve"> </w:t>
      </w:r>
      <w:r w:rsidR="000D6E28">
        <w:rPr>
          <w:rFonts w:cstheme="minorHAnsi"/>
          <w:color w:val="000000"/>
          <w:bdr w:val="none" w:sz="0" w:space="0" w:color="auto" w:frame="1"/>
          <w:shd w:val="clear" w:color="auto" w:fill="FFFFFF"/>
        </w:rPr>
        <w:t>p</w:t>
      </w:r>
      <w:r w:rsidRPr="000624A2">
        <w:rPr>
          <w:rFonts w:cstheme="minorHAnsi"/>
          <w:color w:val="000000"/>
          <w:bdr w:val="none" w:sz="0" w:space="0" w:color="auto" w:frame="1"/>
          <w:shd w:val="clear" w:color="auto" w:fill="FFFFFF"/>
        </w:rPr>
        <w:t xml:space="preserve">ilot participants or members of the public who want to learn more about </w:t>
      </w:r>
      <w:r w:rsidR="000D6E28">
        <w:rPr>
          <w:rFonts w:cstheme="minorHAnsi"/>
          <w:color w:val="000000"/>
          <w:bdr w:val="none" w:sz="0" w:space="0" w:color="auto" w:frame="1"/>
          <w:shd w:val="clear" w:color="auto" w:fill="FFFFFF"/>
        </w:rPr>
        <w:t>stay-at-work/return-to-work (</w:t>
      </w:r>
      <w:r w:rsidRPr="000624A2">
        <w:rPr>
          <w:rFonts w:cstheme="minorHAnsi"/>
          <w:color w:val="000000"/>
          <w:bdr w:val="none" w:sz="0" w:space="0" w:color="auto" w:frame="1"/>
          <w:shd w:val="clear" w:color="auto" w:fill="FFFFFF"/>
        </w:rPr>
        <w:t>SAW/RTW</w:t>
      </w:r>
      <w:r w:rsidR="000D6E28">
        <w:rPr>
          <w:rFonts w:cstheme="minorHAnsi"/>
          <w:color w:val="000000"/>
          <w:bdr w:val="none" w:sz="0" w:space="0" w:color="auto" w:frame="1"/>
          <w:shd w:val="clear" w:color="auto" w:fill="FFFFFF"/>
        </w:rPr>
        <w:t>)</w:t>
      </w:r>
      <w:r w:rsidRPr="000624A2">
        <w:rPr>
          <w:rFonts w:cstheme="minorHAnsi"/>
          <w:color w:val="000000"/>
          <w:bdr w:val="none" w:sz="0" w:space="0" w:color="auto" w:frame="1"/>
          <w:shd w:val="clear" w:color="auto" w:fill="FFFFFF"/>
        </w:rPr>
        <w:t xml:space="preserve"> strategies</w:t>
      </w:r>
      <w:r w:rsidR="000D6E28">
        <w:rPr>
          <w:rFonts w:cstheme="minorHAnsi"/>
          <w:color w:val="000000"/>
          <w:bdr w:val="none" w:sz="0" w:space="0" w:color="auto" w:frame="1"/>
          <w:shd w:val="clear" w:color="auto" w:fill="FFFFFF"/>
        </w:rPr>
        <w:t xml:space="preserve"> and</w:t>
      </w:r>
      <w:r w:rsidR="00532934">
        <w:rPr>
          <w:rFonts w:cstheme="minorHAnsi"/>
          <w:color w:val="000000"/>
          <w:bdr w:val="none" w:sz="0" w:space="0" w:color="auto" w:frame="1"/>
          <w:shd w:val="clear" w:color="auto" w:fill="FFFFFF"/>
        </w:rPr>
        <w:t xml:space="preserve"> resources</w:t>
      </w:r>
      <w:r w:rsidRPr="000624A2">
        <w:rPr>
          <w:rFonts w:cstheme="minorHAnsi"/>
          <w:color w:val="000000"/>
          <w:bdr w:val="none" w:sz="0" w:space="0" w:color="auto" w:frame="1"/>
          <w:shd w:val="clear" w:color="auto" w:fill="FFFFFF"/>
        </w:rPr>
        <w:t>. </w:t>
      </w:r>
    </w:p>
    <w:p w14:paraId="71E5071A" w14:textId="77777777" w:rsidR="00AC1530" w:rsidRDefault="00AC1530" w:rsidP="00FA58FF">
      <w:pPr>
        <w:pStyle w:val="NoSpacing"/>
        <w:jc w:val="center"/>
        <w:rPr>
          <w:b/>
          <w:i/>
          <w:sz w:val="32"/>
        </w:rPr>
      </w:pPr>
    </w:p>
    <w:sdt>
      <w:sdtPr>
        <w:rPr>
          <w:rFonts w:asciiTheme="minorHAnsi" w:eastAsiaTheme="minorEastAsia" w:hAnsiTheme="minorHAnsi" w:cstheme="minorBidi"/>
          <w:color w:val="auto"/>
          <w:sz w:val="22"/>
          <w:szCs w:val="22"/>
          <w:lang w:eastAsia="zh-CN"/>
        </w:rPr>
        <w:id w:val="371272235"/>
        <w:docPartObj>
          <w:docPartGallery w:val="Table of Contents"/>
          <w:docPartUnique/>
        </w:docPartObj>
      </w:sdtPr>
      <w:sdtEndPr>
        <w:rPr>
          <w:b/>
          <w:bCs/>
          <w:noProof/>
        </w:rPr>
      </w:sdtEndPr>
      <w:sdtContent>
        <w:p w14:paraId="7AEFE19A" w14:textId="7E13F368" w:rsidR="00E85E39" w:rsidRPr="00E85E39" w:rsidRDefault="00E85E39">
          <w:pPr>
            <w:pStyle w:val="TOCHeading"/>
            <w:rPr>
              <w:rStyle w:val="Heading1Char"/>
              <w:rFonts w:asciiTheme="minorHAnsi" w:hAnsiTheme="minorHAnsi"/>
              <w:color w:val="auto"/>
            </w:rPr>
          </w:pPr>
          <w:r w:rsidRPr="00E85E39">
            <w:rPr>
              <w:rStyle w:val="Heading1Char"/>
              <w:rFonts w:asciiTheme="minorHAnsi" w:hAnsiTheme="minorHAnsi"/>
              <w:color w:val="auto"/>
            </w:rPr>
            <w:t>Contents</w:t>
          </w:r>
        </w:p>
        <w:p w14:paraId="5E6DE29A" w14:textId="77777777" w:rsidR="00E85E39" w:rsidRPr="00E85E39" w:rsidRDefault="00E85E39" w:rsidP="00E85E39">
          <w:pPr>
            <w:rPr>
              <w:lang w:eastAsia="en-US"/>
            </w:rPr>
          </w:pPr>
        </w:p>
        <w:p w14:paraId="44B7DF63" w14:textId="6B83F096" w:rsidR="00BB2094" w:rsidRDefault="00E85E39">
          <w:pPr>
            <w:pStyle w:val="TOC1"/>
            <w:tabs>
              <w:tab w:val="right" w:leader="dot" w:pos="9350"/>
            </w:tabs>
            <w:rPr>
              <w:noProof/>
              <w:lang w:eastAsia="en-US"/>
            </w:rPr>
          </w:pPr>
          <w:r>
            <w:fldChar w:fldCharType="begin"/>
          </w:r>
          <w:r>
            <w:instrText xml:space="preserve"> TOC \o "1-3" \h \z \u </w:instrText>
          </w:r>
          <w:r>
            <w:fldChar w:fldCharType="separate"/>
          </w:r>
          <w:hyperlink w:anchor="_Toc15395849" w:history="1">
            <w:r w:rsidR="00BB2094" w:rsidRPr="00501A90">
              <w:rPr>
                <w:rStyle w:val="Hyperlink"/>
                <w:noProof/>
              </w:rPr>
              <w:t>Resources for Workers Facing Illness or Injury</w:t>
            </w:r>
            <w:r w:rsidR="00BB2094">
              <w:rPr>
                <w:noProof/>
                <w:webHidden/>
              </w:rPr>
              <w:tab/>
            </w:r>
            <w:r w:rsidR="00BB2094">
              <w:rPr>
                <w:noProof/>
                <w:webHidden/>
              </w:rPr>
              <w:fldChar w:fldCharType="begin"/>
            </w:r>
            <w:r w:rsidR="00BB2094">
              <w:rPr>
                <w:noProof/>
                <w:webHidden/>
              </w:rPr>
              <w:instrText xml:space="preserve"> PAGEREF _Toc15395849 \h </w:instrText>
            </w:r>
            <w:r w:rsidR="00BB2094">
              <w:rPr>
                <w:noProof/>
                <w:webHidden/>
              </w:rPr>
            </w:r>
            <w:r w:rsidR="00BB2094">
              <w:rPr>
                <w:noProof/>
                <w:webHidden/>
              </w:rPr>
              <w:fldChar w:fldCharType="separate"/>
            </w:r>
            <w:r w:rsidR="00627EA3">
              <w:rPr>
                <w:noProof/>
                <w:webHidden/>
              </w:rPr>
              <w:t>1</w:t>
            </w:r>
            <w:r w:rsidR="00BB2094">
              <w:rPr>
                <w:noProof/>
                <w:webHidden/>
              </w:rPr>
              <w:fldChar w:fldCharType="end"/>
            </w:r>
          </w:hyperlink>
        </w:p>
        <w:p w14:paraId="5D01BCC5" w14:textId="52972D4A" w:rsidR="00BB2094" w:rsidRDefault="00271F7C">
          <w:pPr>
            <w:pStyle w:val="TOC1"/>
            <w:tabs>
              <w:tab w:val="right" w:leader="dot" w:pos="9350"/>
            </w:tabs>
            <w:rPr>
              <w:noProof/>
              <w:lang w:eastAsia="en-US"/>
            </w:rPr>
          </w:pPr>
          <w:hyperlink w:anchor="_Toc15395850" w:history="1">
            <w:r w:rsidR="00BB2094" w:rsidRPr="00501A90">
              <w:rPr>
                <w:rStyle w:val="Hyperlink"/>
                <w:noProof/>
              </w:rPr>
              <w:t>Resources for Employers</w:t>
            </w:r>
            <w:r w:rsidR="00BB2094">
              <w:rPr>
                <w:noProof/>
                <w:webHidden/>
              </w:rPr>
              <w:tab/>
            </w:r>
            <w:r w:rsidR="00BB2094">
              <w:rPr>
                <w:noProof/>
                <w:webHidden/>
              </w:rPr>
              <w:fldChar w:fldCharType="begin"/>
            </w:r>
            <w:r w:rsidR="00BB2094">
              <w:rPr>
                <w:noProof/>
                <w:webHidden/>
              </w:rPr>
              <w:instrText xml:space="preserve"> PAGEREF _Toc15395850 \h </w:instrText>
            </w:r>
            <w:r w:rsidR="00BB2094">
              <w:rPr>
                <w:noProof/>
                <w:webHidden/>
              </w:rPr>
            </w:r>
            <w:r w:rsidR="00BB2094">
              <w:rPr>
                <w:noProof/>
                <w:webHidden/>
              </w:rPr>
              <w:fldChar w:fldCharType="separate"/>
            </w:r>
            <w:r w:rsidR="00627EA3">
              <w:rPr>
                <w:noProof/>
                <w:webHidden/>
              </w:rPr>
              <w:t>2</w:t>
            </w:r>
            <w:r w:rsidR="00BB2094">
              <w:rPr>
                <w:noProof/>
                <w:webHidden/>
              </w:rPr>
              <w:fldChar w:fldCharType="end"/>
            </w:r>
          </w:hyperlink>
        </w:p>
        <w:p w14:paraId="26B3A94F" w14:textId="25542BB8" w:rsidR="00BB2094" w:rsidRDefault="00271F7C">
          <w:pPr>
            <w:pStyle w:val="TOC1"/>
            <w:tabs>
              <w:tab w:val="right" w:leader="dot" w:pos="9350"/>
            </w:tabs>
            <w:rPr>
              <w:noProof/>
              <w:lang w:eastAsia="en-US"/>
            </w:rPr>
          </w:pPr>
          <w:hyperlink w:anchor="_Toc15395851" w:history="1">
            <w:r w:rsidR="00BB2094" w:rsidRPr="00501A90">
              <w:rPr>
                <w:rStyle w:val="Hyperlink"/>
                <w:noProof/>
              </w:rPr>
              <w:t>Resources for Health Care Providers</w:t>
            </w:r>
            <w:r w:rsidR="00BB2094">
              <w:rPr>
                <w:noProof/>
                <w:webHidden/>
              </w:rPr>
              <w:tab/>
            </w:r>
            <w:r w:rsidR="00BB2094">
              <w:rPr>
                <w:noProof/>
                <w:webHidden/>
              </w:rPr>
              <w:fldChar w:fldCharType="begin"/>
            </w:r>
            <w:r w:rsidR="00BB2094">
              <w:rPr>
                <w:noProof/>
                <w:webHidden/>
              </w:rPr>
              <w:instrText xml:space="preserve"> PAGEREF _Toc15395851 \h </w:instrText>
            </w:r>
            <w:r w:rsidR="00BB2094">
              <w:rPr>
                <w:noProof/>
                <w:webHidden/>
              </w:rPr>
            </w:r>
            <w:r w:rsidR="00BB2094">
              <w:rPr>
                <w:noProof/>
                <w:webHidden/>
              </w:rPr>
              <w:fldChar w:fldCharType="separate"/>
            </w:r>
            <w:r w:rsidR="00627EA3">
              <w:rPr>
                <w:noProof/>
                <w:webHidden/>
              </w:rPr>
              <w:t>4</w:t>
            </w:r>
            <w:r w:rsidR="00BB2094">
              <w:rPr>
                <w:noProof/>
                <w:webHidden/>
              </w:rPr>
              <w:fldChar w:fldCharType="end"/>
            </w:r>
          </w:hyperlink>
        </w:p>
        <w:p w14:paraId="55730A13" w14:textId="6A075D30" w:rsidR="00BB2094" w:rsidRDefault="00271F7C">
          <w:pPr>
            <w:pStyle w:val="TOC1"/>
            <w:tabs>
              <w:tab w:val="right" w:leader="dot" w:pos="9350"/>
            </w:tabs>
            <w:rPr>
              <w:noProof/>
              <w:lang w:eastAsia="en-US"/>
            </w:rPr>
          </w:pPr>
          <w:hyperlink w:anchor="_Toc15395852" w:history="1">
            <w:r w:rsidR="00BB2094" w:rsidRPr="00501A90">
              <w:rPr>
                <w:rStyle w:val="Hyperlink"/>
                <w:noProof/>
              </w:rPr>
              <w:t>Additional SAW/RTW Resources</w:t>
            </w:r>
            <w:r w:rsidR="00BB2094">
              <w:rPr>
                <w:noProof/>
                <w:webHidden/>
              </w:rPr>
              <w:tab/>
            </w:r>
            <w:r w:rsidR="00BB2094">
              <w:rPr>
                <w:noProof/>
                <w:webHidden/>
              </w:rPr>
              <w:fldChar w:fldCharType="begin"/>
            </w:r>
            <w:r w:rsidR="00BB2094">
              <w:rPr>
                <w:noProof/>
                <w:webHidden/>
              </w:rPr>
              <w:instrText xml:space="preserve"> PAGEREF _Toc15395852 \h </w:instrText>
            </w:r>
            <w:r w:rsidR="00BB2094">
              <w:rPr>
                <w:noProof/>
                <w:webHidden/>
              </w:rPr>
            </w:r>
            <w:r w:rsidR="00BB2094">
              <w:rPr>
                <w:noProof/>
                <w:webHidden/>
              </w:rPr>
              <w:fldChar w:fldCharType="separate"/>
            </w:r>
            <w:r w:rsidR="00627EA3">
              <w:rPr>
                <w:noProof/>
                <w:webHidden/>
              </w:rPr>
              <w:t>6</w:t>
            </w:r>
            <w:r w:rsidR="00BB2094">
              <w:rPr>
                <w:noProof/>
                <w:webHidden/>
              </w:rPr>
              <w:fldChar w:fldCharType="end"/>
            </w:r>
          </w:hyperlink>
        </w:p>
        <w:p w14:paraId="5FAED02C" w14:textId="0627ECE6" w:rsidR="00E85E39" w:rsidRDefault="00E85E39">
          <w:r>
            <w:rPr>
              <w:b/>
              <w:bCs/>
              <w:noProof/>
            </w:rPr>
            <w:fldChar w:fldCharType="end"/>
          </w:r>
        </w:p>
      </w:sdtContent>
    </w:sdt>
    <w:p w14:paraId="29CF3ABB" w14:textId="0E0CF11A" w:rsidR="00E85E39" w:rsidRDefault="00E85E39" w:rsidP="00FA58FF">
      <w:pPr>
        <w:pStyle w:val="NoSpacing"/>
      </w:pPr>
    </w:p>
    <w:p w14:paraId="501B41F6" w14:textId="1869A591" w:rsidR="004E7654" w:rsidRPr="00E85E39" w:rsidRDefault="00CF52E2" w:rsidP="00E85E39">
      <w:pPr>
        <w:pStyle w:val="Heading1"/>
      </w:pPr>
      <w:bookmarkStart w:id="0" w:name="_Toc15395849"/>
      <w:r w:rsidRPr="00E85E39">
        <w:t xml:space="preserve">Resources for </w:t>
      </w:r>
      <w:r w:rsidR="004E7654" w:rsidRPr="00E85E39">
        <w:t>Workers</w:t>
      </w:r>
      <w:r w:rsidRPr="00E85E39">
        <w:t xml:space="preserve"> Facing Illness or Injury</w:t>
      </w:r>
      <w:bookmarkEnd w:id="0"/>
    </w:p>
    <w:p w14:paraId="73096C0F" w14:textId="77777777" w:rsidR="00BC7B72" w:rsidRDefault="00BC7B72" w:rsidP="00FA58FF">
      <w:pPr>
        <w:pStyle w:val="NoSpacing"/>
        <w:rPr>
          <w:lang w:eastAsia="en-US"/>
        </w:rPr>
      </w:pPr>
    </w:p>
    <w:p w14:paraId="23EC1BA7" w14:textId="51C0F87B" w:rsidR="009624F1" w:rsidRPr="009624F1" w:rsidRDefault="00271F7C" w:rsidP="00FA58FF">
      <w:pPr>
        <w:pStyle w:val="NoSpacing"/>
        <w:rPr>
          <w:lang w:eastAsia="en-US"/>
        </w:rPr>
      </w:pPr>
      <w:hyperlink r:id="rId11" w:history="1">
        <w:r w:rsidR="009624F1" w:rsidRPr="009624F1">
          <w:rPr>
            <w:rStyle w:val="Hyperlink"/>
            <w:lang w:eastAsia="en-US"/>
          </w:rPr>
          <w:t>Return-to-Work Toolkit for Employees and Employers</w:t>
        </w:r>
      </w:hyperlink>
    </w:p>
    <w:p w14:paraId="5D857D49" w14:textId="583778DA" w:rsidR="009624F1" w:rsidRDefault="009624F1" w:rsidP="00FA58FF">
      <w:pPr>
        <w:pStyle w:val="NoSpacing"/>
      </w:pPr>
      <w:r>
        <w:t xml:space="preserve">An online tool from the U.S. Department of Labor’s Office of Disability Employment Policy that helps </w:t>
      </w:r>
      <w:r w:rsidRPr="009624F1">
        <w:t xml:space="preserve">employers and employees understand the return-to-work process and </w:t>
      </w:r>
      <w:r>
        <w:t xml:space="preserve">find </w:t>
      </w:r>
      <w:r w:rsidRPr="009624F1">
        <w:t xml:space="preserve">resources to assist in getting </w:t>
      </w:r>
      <w:r w:rsidR="005F22A5">
        <w:t xml:space="preserve">workers </w:t>
      </w:r>
      <w:r w:rsidRPr="009624F1">
        <w:t>back on the job quickly and smoothly.</w:t>
      </w:r>
    </w:p>
    <w:p w14:paraId="7CF3EA3F" w14:textId="77777777" w:rsidR="00FA58FF" w:rsidRDefault="00FA58FF" w:rsidP="00FA58FF">
      <w:pPr>
        <w:pStyle w:val="NoSpacing"/>
      </w:pPr>
    </w:p>
    <w:p w14:paraId="24CCD0EB" w14:textId="03535A3C" w:rsidR="00CF52E2" w:rsidRDefault="00271F7C" w:rsidP="00FA58FF">
      <w:pPr>
        <w:pStyle w:val="NoSpacing"/>
      </w:pPr>
      <w:hyperlink r:id="rId12" w:history="1">
        <w:r w:rsidR="00CF52E2" w:rsidRPr="00257009">
          <w:rPr>
            <w:rStyle w:val="Hyperlink"/>
          </w:rPr>
          <w:t>Job Accommodation Network (JAN)</w:t>
        </w:r>
      </w:hyperlink>
      <w:r w:rsidR="00CF52E2">
        <w:br/>
        <w:t xml:space="preserve">JAN </w:t>
      </w:r>
      <w:r w:rsidR="00CF52E2" w:rsidRPr="00CF52E2">
        <w:t>provides free</w:t>
      </w:r>
      <w:r w:rsidR="00CF52E2">
        <w:t>, confidential</w:t>
      </w:r>
      <w:r w:rsidR="00CF52E2" w:rsidRPr="00CF52E2">
        <w:t xml:space="preserve"> consulting services for</w:t>
      </w:r>
      <w:r w:rsidR="005F22A5">
        <w:t xml:space="preserve"> </w:t>
      </w:r>
      <w:r w:rsidR="00CF52E2" w:rsidRPr="00CF52E2">
        <w:t>individuals, regardless of employment status. Services include one-on-one consultation about job accommodations, including the accommodation process, accommodation ideas, product vendors, referral to other resources, and ADA compliance assistance.</w:t>
      </w:r>
      <w:r w:rsidR="00CF52E2">
        <w:t xml:space="preserve">  </w:t>
      </w:r>
      <w:r w:rsidR="00CF52E2">
        <w:br/>
      </w:r>
    </w:p>
    <w:p w14:paraId="18A5B483" w14:textId="16F1229F" w:rsidR="00430404" w:rsidRDefault="00271F7C" w:rsidP="00FA58FF">
      <w:pPr>
        <w:pStyle w:val="NoSpacing"/>
      </w:pPr>
      <w:hyperlink r:id="rId13" w:history="1">
        <w:r w:rsidR="00430404" w:rsidRPr="006059B3">
          <w:rPr>
            <w:rStyle w:val="Hyperlink"/>
          </w:rPr>
          <w:t>Flexible Work Arrangements</w:t>
        </w:r>
      </w:hyperlink>
    </w:p>
    <w:p w14:paraId="7451F3A5" w14:textId="2816850E" w:rsidR="00430404" w:rsidRDefault="00430404" w:rsidP="00FA58FF">
      <w:pPr>
        <w:pStyle w:val="NoSpacing"/>
      </w:pPr>
      <w:r>
        <w:t xml:space="preserve">Information from the U.S. Department of Labor’s Office of Disability Employment Policy </w:t>
      </w:r>
      <w:r w:rsidR="009C4896">
        <w:t xml:space="preserve">(ODEP) </w:t>
      </w:r>
      <w:r>
        <w:t>on</w:t>
      </w:r>
      <w:r w:rsidR="00A062DE">
        <w:t xml:space="preserve"> </w:t>
      </w:r>
      <w:r w:rsidRPr="00430404">
        <w:t>flexible work arrangements</w:t>
      </w:r>
      <w:r>
        <w:t xml:space="preserve">. Includes </w:t>
      </w:r>
      <w:r w:rsidR="009C4896">
        <w:t xml:space="preserve">information on teleworking, customized employment, and a </w:t>
      </w:r>
      <w:r>
        <w:t xml:space="preserve">link to </w:t>
      </w:r>
      <w:r w:rsidR="009C4896">
        <w:t>ODEP’s</w:t>
      </w:r>
      <w:r>
        <w:t xml:space="preserve"> </w:t>
      </w:r>
      <w:r w:rsidR="009C4896">
        <w:t>Workplace Flexibility Toolkit.</w:t>
      </w:r>
    </w:p>
    <w:p w14:paraId="75E5E8D1" w14:textId="77777777" w:rsidR="005F22A5" w:rsidRDefault="005F22A5" w:rsidP="00FA58FF">
      <w:pPr>
        <w:pStyle w:val="NoSpacing"/>
      </w:pPr>
    </w:p>
    <w:p w14:paraId="5B8CBF41" w14:textId="77777777" w:rsidR="00B12623" w:rsidRDefault="00B12623">
      <w:r>
        <w:br w:type="page"/>
      </w:r>
    </w:p>
    <w:p w14:paraId="7ED5C858" w14:textId="3F452AEE" w:rsidR="004C2F07" w:rsidRDefault="00271F7C" w:rsidP="00FA58FF">
      <w:pPr>
        <w:pStyle w:val="NoSpacing"/>
      </w:pPr>
      <w:hyperlink r:id="rId14" w:history="1">
        <w:r w:rsidR="004C2F07" w:rsidRPr="00C560F4">
          <w:rPr>
            <w:rStyle w:val="Hyperlink"/>
          </w:rPr>
          <w:t>Resources for Job Seekers and Employees with Disabilities</w:t>
        </w:r>
      </w:hyperlink>
    </w:p>
    <w:p w14:paraId="1C14FF25" w14:textId="74111322" w:rsidR="00D924A4" w:rsidRDefault="004C2F07" w:rsidP="00FA58FF">
      <w:pPr>
        <w:pStyle w:val="NoSpacing"/>
      </w:pPr>
      <w:r>
        <w:t xml:space="preserve">This online guide from the Campaign for Disability Employment </w:t>
      </w:r>
      <w:r w:rsidR="00C560F4">
        <w:t>is a gateway to resources on finding a job and succeed</w:t>
      </w:r>
      <w:r w:rsidR="00BD2883">
        <w:t>ing</w:t>
      </w:r>
      <w:r w:rsidR="00C560F4">
        <w:t xml:space="preserve"> on the job once employed.</w:t>
      </w:r>
      <w:r w:rsidR="00BD2883">
        <w:t xml:space="preserve"> Featured within the guide is information on “</w:t>
      </w:r>
      <w:r w:rsidR="00BD2883" w:rsidRPr="00BD2883">
        <w:t>Programs and Rules that Help People Receiving Disability Benefits Return to Work</w:t>
      </w:r>
      <w:r w:rsidR="00BD2883">
        <w:t>,” “</w:t>
      </w:r>
      <w:r w:rsidR="00BD2883" w:rsidRPr="00BD2883">
        <w:t>Job Training Programs</w:t>
      </w:r>
      <w:r w:rsidR="00BD2883">
        <w:t>,” “</w:t>
      </w:r>
      <w:r w:rsidR="00BD2883" w:rsidRPr="00BD2883">
        <w:t>Job Accommodations</w:t>
      </w:r>
      <w:r w:rsidR="00BD2883">
        <w:t>,”</w:t>
      </w:r>
      <w:r w:rsidR="00BD2883" w:rsidRPr="00BD2883">
        <w:t xml:space="preserve"> and </w:t>
      </w:r>
      <w:r w:rsidR="00BD2883">
        <w:t>“</w:t>
      </w:r>
      <w:r w:rsidR="00BD2883" w:rsidRPr="00BD2883">
        <w:t>Rights of Employees or Job Seekers with Disabilities</w:t>
      </w:r>
      <w:r w:rsidR="00BD2883">
        <w:t>.”</w:t>
      </w:r>
    </w:p>
    <w:p w14:paraId="4E1804B9" w14:textId="77777777" w:rsidR="000913CF" w:rsidRDefault="000913CF" w:rsidP="00FA58FF">
      <w:pPr>
        <w:pStyle w:val="NoSpacing"/>
      </w:pPr>
    </w:p>
    <w:p w14:paraId="7FE71B99" w14:textId="33FC36F8" w:rsidR="002D394D" w:rsidRPr="0084727D" w:rsidRDefault="0084727D" w:rsidP="00FA58FF">
      <w:pPr>
        <w:pStyle w:val="NoSpacing"/>
        <w:rPr>
          <w:rStyle w:val="Hyperlink"/>
          <w:rFonts w:cstheme="minorHAnsi"/>
        </w:rPr>
      </w:pPr>
      <w:r>
        <w:rPr>
          <w:rFonts w:cstheme="minorHAnsi"/>
        </w:rPr>
        <w:fldChar w:fldCharType="begin"/>
      </w:r>
      <w:r>
        <w:rPr>
          <w:rFonts w:cstheme="minorHAnsi"/>
        </w:rPr>
        <w:instrText xml:space="preserve"> HYPERLINK "http://www.careeronestop.org/localhelp/americanjobcenters/american-job-centers.aspx" \o " [Opens in new window]" \t "_blank" </w:instrText>
      </w:r>
      <w:r>
        <w:rPr>
          <w:rFonts w:cstheme="minorHAnsi"/>
        </w:rPr>
        <w:fldChar w:fldCharType="separate"/>
      </w:r>
      <w:r w:rsidR="002D394D" w:rsidRPr="0084727D">
        <w:rPr>
          <w:rStyle w:val="Hyperlink"/>
          <w:rFonts w:cstheme="minorHAnsi"/>
        </w:rPr>
        <w:t>American Job Centers</w:t>
      </w:r>
    </w:p>
    <w:p w14:paraId="251BF21B" w14:textId="22A9C6B7" w:rsidR="006268BD" w:rsidRDefault="0084727D" w:rsidP="000D6E28">
      <w:pPr>
        <w:pStyle w:val="NoSpacing"/>
        <w:rPr>
          <w:rFonts w:cstheme="minorHAnsi"/>
        </w:rPr>
      </w:pPr>
      <w:r>
        <w:rPr>
          <w:rFonts w:cstheme="minorHAnsi"/>
        </w:rPr>
        <w:fldChar w:fldCharType="end"/>
      </w:r>
      <w:r>
        <w:rPr>
          <w:rFonts w:cstheme="minorHAnsi"/>
        </w:rPr>
        <w:t>Y</w:t>
      </w:r>
      <w:r w:rsidR="002D394D" w:rsidRPr="002D394D">
        <w:rPr>
          <w:rFonts w:cstheme="minorHAnsi"/>
        </w:rPr>
        <w:t>our local American Job Center has lists of recent job openings, computers you can use to search for jobs</w:t>
      </w:r>
      <w:r>
        <w:rPr>
          <w:rFonts w:cstheme="minorHAnsi"/>
        </w:rPr>
        <w:t>,</w:t>
      </w:r>
      <w:r w:rsidR="002D394D" w:rsidRPr="002D394D">
        <w:rPr>
          <w:rFonts w:cstheme="minorHAnsi"/>
        </w:rPr>
        <w:t xml:space="preserve"> and career counselors who can help you find jobs, train for a new career</w:t>
      </w:r>
      <w:r>
        <w:rPr>
          <w:rFonts w:cstheme="minorHAnsi"/>
        </w:rPr>
        <w:t>,</w:t>
      </w:r>
      <w:r w:rsidR="002D394D" w:rsidRPr="002D394D">
        <w:rPr>
          <w:rFonts w:cstheme="minorHAnsi"/>
        </w:rPr>
        <w:t xml:space="preserve"> and write your resume. </w:t>
      </w:r>
    </w:p>
    <w:p w14:paraId="66391DD7" w14:textId="77777777" w:rsidR="000D6E28" w:rsidRDefault="000D6E28" w:rsidP="000D6E28">
      <w:pPr>
        <w:pStyle w:val="NoSpacing"/>
        <w:rPr>
          <w:rFonts w:cstheme="minorHAnsi"/>
        </w:rPr>
      </w:pPr>
    </w:p>
    <w:p w14:paraId="758ECCA1" w14:textId="59F8492C" w:rsidR="0084727D" w:rsidRPr="0084727D" w:rsidRDefault="0084727D" w:rsidP="00FA58FF">
      <w:pPr>
        <w:pStyle w:val="NoSpacing"/>
        <w:rPr>
          <w:rStyle w:val="Hyperlink"/>
          <w:rFonts w:cstheme="minorHAnsi"/>
        </w:rPr>
      </w:pPr>
      <w:r>
        <w:rPr>
          <w:rFonts w:cstheme="minorHAnsi"/>
        </w:rPr>
        <w:fldChar w:fldCharType="begin"/>
      </w:r>
      <w:r>
        <w:rPr>
          <w:rFonts w:cstheme="minorHAnsi"/>
        </w:rPr>
        <w:instrText xml:space="preserve"> HYPERLINK "https://askjan.org/concerns/State-Vocational-Rehabilitation-Agencies.cfm?cssearch=1906401_1" \o " [Opens in new window]" \t "_blank" </w:instrText>
      </w:r>
      <w:r>
        <w:rPr>
          <w:rFonts w:cstheme="minorHAnsi"/>
        </w:rPr>
        <w:fldChar w:fldCharType="separate"/>
      </w:r>
      <w:r w:rsidR="002D394D" w:rsidRPr="0084727D">
        <w:rPr>
          <w:rStyle w:val="Hyperlink"/>
          <w:rFonts w:cstheme="minorHAnsi"/>
        </w:rPr>
        <w:t>State Vocational Rehabilitation (VR) Agencies</w:t>
      </w:r>
    </w:p>
    <w:p w14:paraId="076B5D3C" w14:textId="648C9B89" w:rsidR="002D394D" w:rsidRDefault="0084727D" w:rsidP="00FA58FF">
      <w:pPr>
        <w:pStyle w:val="NoSpacing"/>
        <w:rPr>
          <w:rFonts w:cstheme="minorHAnsi"/>
        </w:rPr>
      </w:pPr>
      <w:r>
        <w:rPr>
          <w:rFonts w:cstheme="minorHAnsi"/>
        </w:rPr>
        <w:fldChar w:fldCharType="end"/>
      </w:r>
      <w:r w:rsidR="002D394D" w:rsidRPr="002D394D">
        <w:rPr>
          <w:rFonts w:cstheme="minorHAnsi"/>
        </w:rPr>
        <w:t>VR agencies provide career counseling, job training</w:t>
      </w:r>
      <w:r>
        <w:rPr>
          <w:rFonts w:cstheme="minorHAnsi"/>
        </w:rPr>
        <w:t>,</w:t>
      </w:r>
      <w:r w:rsidR="002D394D" w:rsidRPr="002D394D">
        <w:rPr>
          <w:rFonts w:cstheme="minorHAnsi"/>
        </w:rPr>
        <w:t xml:space="preserve"> and job placement services for people with disabilities.</w:t>
      </w:r>
      <w:r>
        <w:rPr>
          <w:rFonts w:cstheme="minorHAnsi"/>
        </w:rPr>
        <w:t xml:space="preserve"> </w:t>
      </w:r>
      <w:r w:rsidR="002D394D" w:rsidRPr="002D394D">
        <w:rPr>
          <w:rFonts w:cstheme="minorHAnsi"/>
        </w:rPr>
        <w:t>Counselors at these agencies work closely with job seekers to help them find, train for</w:t>
      </w:r>
      <w:r w:rsidR="00F179B5">
        <w:rPr>
          <w:rFonts w:cstheme="minorHAnsi"/>
        </w:rPr>
        <w:t>,</w:t>
      </w:r>
      <w:r w:rsidR="002D394D" w:rsidRPr="002D394D">
        <w:rPr>
          <w:rFonts w:cstheme="minorHAnsi"/>
        </w:rPr>
        <w:t xml:space="preserve"> and keep a job. Each state has its own rules about who may be eligible to receive these free employment services, so contact your state’s </w:t>
      </w:r>
      <w:r w:rsidR="002D394D" w:rsidRPr="0084727D">
        <w:rPr>
          <w:rFonts w:cstheme="minorHAnsi"/>
        </w:rPr>
        <w:t>VR agency</w:t>
      </w:r>
      <w:r w:rsidR="002D394D" w:rsidRPr="002D394D">
        <w:rPr>
          <w:rFonts w:cstheme="minorHAnsi"/>
        </w:rPr>
        <w:t> for more information.</w:t>
      </w:r>
    </w:p>
    <w:p w14:paraId="662A3CC7" w14:textId="77777777" w:rsidR="0053652B" w:rsidRPr="002D394D" w:rsidRDefault="0053652B" w:rsidP="00FA58FF">
      <w:pPr>
        <w:pStyle w:val="NoSpacing"/>
        <w:rPr>
          <w:rFonts w:cstheme="minorHAnsi"/>
        </w:rPr>
      </w:pPr>
    </w:p>
    <w:p w14:paraId="4EC6C988" w14:textId="7C0DC0D4" w:rsidR="0084727D" w:rsidRPr="0084727D" w:rsidRDefault="0084727D" w:rsidP="00FA58FF">
      <w:pPr>
        <w:pStyle w:val="NoSpacing"/>
        <w:rPr>
          <w:rStyle w:val="Hyperlink"/>
          <w:rFonts w:cstheme="minorHAnsi"/>
        </w:rPr>
      </w:pPr>
      <w:r>
        <w:rPr>
          <w:rFonts w:cstheme="minorHAnsi"/>
        </w:rPr>
        <w:fldChar w:fldCharType="begin"/>
      </w:r>
      <w:r>
        <w:rPr>
          <w:rFonts w:cstheme="minorHAnsi"/>
        </w:rPr>
        <w:instrText xml:space="preserve"> HYPERLINK "https://www.dol.gov/whd/contacts/state_of.htm" \o " [Opens in new window]" \t "_blank" </w:instrText>
      </w:r>
      <w:r>
        <w:rPr>
          <w:rFonts w:cstheme="minorHAnsi"/>
        </w:rPr>
        <w:fldChar w:fldCharType="separate"/>
      </w:r>
      <w:r w:rsidR="002D394D" w:rsidRPr="0084727D">
        <w:rPr>
          <w:rStyle w:val="Hyperlink"/>
          <w:rFonts w:cstheme="minorHAnsi"/>
        </w:rPr>
        <w:t>State Departments of Labor</w:t>
      </w:r>
    </w:p>
    <w:p w14:paraId="42FF743B" w14:textId="5D1AE502" w:rsidR="008E28BD" w:rsidRDefault="0084727D" w:rsidP="00FA58FF">
      <w:pPr>
        <w:pStyle w:val="NoSpacing"/>
        <w:rPr>
          <w:rFonts w:cstheme="minorHAnsi"/>
        </w:rPr>
      </w:pPr>
      <w:r>
        <w:rPr>
          <w:rFonts w:cstheme="minorHAnsi"/>
        </w:rPr>
        <w:fldChar w:fldCharType="end"/>
      </w:r>
      <w:r w:rsidR="002D394D" w:rsidRPr="002D394D">
        <w:rPr>
          <w:rFonts w:cstheme="minorHAnsi"/>
        </w:rPr>
        <w:t>These state government agencies provide information on apprenticeship programs, career fairs, resume writing</w:t>
      </w:r>
      <w:r w:rsidR="008E28BD">
        <w:rPr>
          <w:rFonts w:cstheme="minorHAnsi"/>
        </w:rPr>
        <w:t>,</w:t>
      </w:r>
      <w:r w:rsidR="002D394D" w:rsidRPr="002D394D">
        <w:rPr>
          <w:rFonts w:cstheme="minorHAnsi"/>
        </w:rPr>
        <w:t xml:space="preserve"> and employment laws.</w:t>
      </w:r>
    </w:p>
    <w:p w14:paraId="464B142F" w14:textId="199D4F7F" w:rsidR="002D394D" w:rsidRDefault="002D394D" w:rsidP="00FA58FF">
      <w:pPr>
        <w:pStyle w:val="NoSpacing"/>
        <w:rPr>
          <w:rFonts w:cstheme="minorHAnsi"/>
        </w:rPr>
      </w:pPr>
      <w:r w:rsidRPr="002D394D">
        <w:rPr>
          <w:rFonts w:cstheme="minorHAnsi"/>
        </w:rPr>
        <w:t xml:space="preserve"> </w:t>
      </w:r>
      <w:r w:rsidR="0084727D">
        <w:rPr>
          <w:rFonts w:cstheme="minorHAnsi"/>
        </w:rPr>
        <w:t xml:space="preserve"> </w:t>
      </w:r>
    </w:p>
    <w:p w14:paraId="60255DF1" w14:textId="77777777" w:rsidR="003C2765" w:rsidRPr="002D394D" w:rsidRDefault="003C2765" w:rsidP="00FA58FF">
      <w:pPr>
        <w:pStyle w:val="NoSpacing"/>
        <w:rPr>
          <w:rFonts w:cstheme="minorHAnsi"/>
        </w:rPr>
      </w:pPr>
    </w:p>
    <w:p w14:paraId="2FC7A596" w14:textId="5DDB2685" w:rsidR="00257009" w:rsidRPr="0053652B" w:rsidRDefault="00C53BC9" w:rsidP="00E85E39">
      <w:pPr>
        <w:pStyle w:val="Heading1"/>
      </w:pPr>
      <w:r>
        <w:br/>
      </w:r>
      <w:bookmarkStart w:id="1" w:name="_Toc15395850"/>
      <w:r w:rsidR="00CF52E2" w:rsidRPr="0053652B">
        <w:t xml:space="preserve">Resources for </w:t>
      </w:r>
      <w:r w:rsidR="004E7654" w:rsidRPr="0053652B">
        <w:t>Employers</w:t>
      </w:r>
      <w:bookmarkEnd w:id="1"/>
    </w:p>
    <w:p w14:paraId="7B35E380" w14:textId="77777777" w:rsidR="0053652B" w:rsidRDefault="0053652B" w:rsidP="00FA58FF">
      <w:pPr>
        <w:pStyle w:val="NoSpacing"/>
      </w:pPr>
    </w:p>
    <w:p w14:paraId="5180E247" w14:textId="7F914A61" w:rsidR="009C60CD" w:rsidRPr="009C60CD" w:rsidRDefault="009C60CD" w:rsidP="00FA58FF">
      <w:pPr>
        <w:pStyle w:val="NoSpacing"/>
        <w:rPr>
          <w:b/>
          <w:bCs/>
          <w:i/>
          <w:iCs/>
        </w:rPr>
      </w:pPr>
      <w:r w:rsidRPr="009C60CD">
        <w:rPr>
          <w:b/>
          <w:bCs/>
          <w:i/>
          <w:iCs/>
        </w:rPr>
        <w:t>Disability Inclusion</w:t>
      </w:r>
      <w:r>
        <w:rPr>
          <w:b/>
          <w:bCs/>
          <w:i/>
          <w:iCs/>
        </w:rPr>
        <w:t xml:space="preserve"> and Workplace Accommodation</w:t>
      </w:r>
      <w:r w:rsidRPr="009C60CD">
        <w:rPr>
          <w:b/>
          <w:bCs/>
          <w:i/>
          <w:iCs/>
        </w:rPr>
        <w:t xml:space="preserve"> Resources:</w:t>
      </w:r>
    </w:p>
    <w:p w14:paraId="34FBB45B" w14:textId="77777777" w:rsidR="009C60CD" w:rsidRDefault="009C60CD" w:rsidP="00FA58FF">
      <w:pPr>
        <w:pStyle w:val="NoSpacing"/>
      </w:pPr>
    </w:p>
    <w:p w14:paraId="5E077454" w14:textId="5875A9B0" w:rsidR="00E950C3" w:rsidRDefault="00271F7C" w:rsidP="00FA58FF">
      <w:pPr>
        <w:pStyle w:val="NoSpacing"/>
      </w:pPr>
      <w:hyperlink r:id="rId15" w:history="1">
        <w:r w:rsidR="00CF52E2" w:rsidRPr="00E950C3">
          <w:rPr>
            <w:rStyle w:val="Hyperlink"/>
          </w:rPr>
          <w:t>Employer Assistance and Resource Network on Disability Inclusion (EARN)</w:t>
        </w:r>
      </w:hyperlink>
    </w:p>
    <w:p w14:paraId="2739CFF3" w14:textId="32EC05D4" w:rsidR="005B36E8" w:rsidRDefault="00E950C3" w:rsidP="00FA58FF">
      <w:pPr>
        <w:pStyle w:val="NoSpacing"/>
      </w:pPr>
      <w:r>
        <w:t>EARN</w:t>
      </w:r>
      <w:r w:rsidR="00CF52E2" w:rsidRPr="00257009">
        <w:t xml:space="preserve"> is a free resource that helps employers tap the benefits of disability diversity </w:t>
      </w:r>
      <w:r>
        <w:t xml:space="preserve">and </w:t>
      </w:r>
      <w:r w:rsidR="00CF52E2" w:rsidRPr="00257009">
        <w:t xml:space="preserve">build inclusive workplace cultures. </w:t>
      </w:r>
      <w:r>
        <w:t xml:space="preserve">It </w:t>
      </w:r>
      <w:r w:rsidR="00CF52E2" w:rsidRPr="00257009">
        <w:t>offers information and resources to empower individuals and organizations to become leaders in the employment and advancement of people with disabilities.</w:t>
      </w:r>
      <w:r>
        <w:t xml:space="preserve"> Among EARN’s</w:t>
      </w:r>
      <w:r w:rsidR="0035387D">
        <w:t xml:space="preserve"> offerings is </w:t>
      </w:r>
      <w:hyperlink r:id="rId16" w:history="1">
        <w:r w:rsidRPr="00257009">
          <w:rPr>
            <w:rStyle w:val="Hyperlink"/>
          </w:rPr>
          <w:t>Stay-at-Work/Return-to-Work Information for Employers</w:t>
        </w:r>
      </w:hyperlink>
      <w:r w:rsidR="0035387D">
        <w:rPr>
          <w:rStyle w:val="Hyperlink"/>
        </w:rPr>
        <w:t>.</w:t>
      </w:r>
      <w:r>
        <w:br/>
      </w:r>
      <w:r w:rsidR="00CF52E2">
        <w:br/>
      </w:r>
      <w:hyperlink r:id="rId17" w:history="1">
        <w:r w:rsidR="00257009" w:rsidRPr="00257009">
          <w:rPr>
            <w:rStyle w:val="Hyperlink"/>
          </w:rPr>
          <w:t>Job Accommodation Network (JAN)</w:t>
        </w:r>
      </w:hyperlink>
      <w:r w:rsidR="00257009">
        <w:br/>
        <w:t>JAN provides free, expert</w:t>
      </w:r>
      <w:r w:rsidR="00CF52E2">
        <w:t>,</w:t>
      </w:r>
      <w:r w:rsidR="00257009">
        <w:t xml:space="preserve"> and confidential guidance to employers about workplace accommodations and disability employment issues, including employment laws and regulations. Find information on reasonable accommodations for employees with disabilities and the ADA</w:t>
      </w:r>
      <w:r w:rsidR="005B36E8">
        <w:t>, and e</w:t>
      </w:r>
      <w:r w:rsidR="00257009">
        <w:t>xplore A to Z listings by disability, topic</w:t>
      </w:r>
      <w:r w:rsidR="005B36E8">
        <w:t>,</w:t>
      </w:r>
      <w:r w:rsidR="00257009">
        <w:t xml:space="preserve"> and limitation to discover effective accommodation ideas and resources. </w:t>
      </w:r>
      <w:r w:rsidR="005B36E8">
        <w:t xml:space="preserve"> </w:t>
      </w:r>
    </w:p>
    <w:p w14:paraId="23A85568" w14:textId="0BE143E3" w:rsidR="009C60CD" w:rsidRDefault="009C60CD" w:rsidP="00FA58FF">
      <w:pPr>
        <w:pStyle w:val="NoSpacing"/>
      </w:pPr>
    </w:p>
    <w:p w14:paraId="5BF60B6B" w14:textId="54C37133" w:rsidR="009C60CD" w:rsidRDefault="00271F7C" w:rsidP="00FA58FF">
      <w:pPr>
        <w:pStyle w:val="NoSpacing"/>
      </w:pPr>
      <w:hyperlink r:id="rId18" w:history="1">
        <w:r w:rsidR="009C60CD" w:rsidRPr="00257009">
          <w:rPr>
            <w:rStyle w:val="Hyperlink"/>
          </w:rPr>
          <w:t>Disability Management Employer Coalition</w:t>
        </w:r>
      </w:hyperlink>
      <w:r w:rsidR="009C60CD">
        <w:br/>
      </w:r>
      <w:r w:rsidR="009C60CD" w:rsidRPr="00257009">
        <w:t xml:space="preserve">The Disability Management Employer Coalition (DMEC) is </w:t>
      </w:r>
      <w:r w:rsidR="009C60CD">
        <w:t xml:space="preserve">an organization </w:t>
      </w:r>
      <w:r w:rsidR="009C60CD" w:rsidRPr="00257009">
        <w:t xml:space="preserve">committed to providing focused education for absence management professionals. </w:t>
      </w:r>
      <w:r w:rsidR="009C60CD">
        <w:t xml:space="preserve">It offers </w:t>
      </w:r>
      <w:r w:rsidR="009C60CD" w:rsidRPr="00257009">
        <w:t>face-to-face conferences</w:t>
      </w:r>
      <w:r w:rsidR="009C60CD">
        <w:t xml:space="preserve">, </w:t>
      </w:r>
      <w:r w:rsidR="009C60CD" w:rsidRPr="00257009">
        <w:t xml:space="preserve">tools and resources, </w:t>
      </w:r>
      <w:r w:rsidR="009C60CD">
        <w:t>and information on r</w:t>
      </w:r>
      <w:r w:rsidR="009C60CD" w:rsidRPr="00257009">
        <w:t>educ</w:t>
      </w:r>
      <w:r w:rsidR="009C60CD">
        <w:t>ing</w:t>
      </w:r>
      <w:r w:rsidR="009C60CD" w:rsidRPr="00257009">
        <w:t xml:space="preserve"> costs, minimiz</w:t>
      </w:r>
      <w:r w:rsidR="009C60CD">
        <w:t>ing</w:t>
      </w:r>
      <w:r w:rsidR="009C60CD" w:rsidRPr="00257009">
        <w:t xml:space="preserve"> lost work time, and increas</w:t>
      </w:r>
      <w:r w:rsidR="009C60CD">
        <w:t>ing</w:t>
      </w:r>
      <w:r w:rsidR="009C60CD" w:rsidRPr="00257009">
        <w:t xml:space="preserve"> staff productivity.</w:t>
      </w:r>
    </w:p>
    <w:p w14:paraId="1C5B369C" w14:textId="77777777" w:rsidR="00B12623" w:rsidRDefault="00C53BC9" w:rsidP="00FA58FF">
      <w:pPr>
        <w:pStyle w:val="NoSpacing"/>
        <w:rPr>
          <w:rFonts w:cstheme="minorHAnsi"/>
        </w:rPr>
      </w:pPr>
      <w:r>
        <w:br/>
      </w:r>
    </w:p>
    <w:p w14:paraId="3B1C19E0" w14:textId="77777777" w:rsidR="00B12623" w:rsidRDefault="00B12623">
      <w:pPr>
        <w:rPr>
          <w:rFonts w:cstheme="minorHAnsi"/>
        </w:rPr>
      </w:pPr>
      <w:r>
        <w:rPr>
          <w:rFonts w:cstheme="minorHAnsi"/>
        </w:rPr>
        <w:br w:type="page"/>
      </w:r>
    </w:p>
    <w:p w14:paraId="4BC4758B" w14:textId="724AD00B" w:rsidR="009624F1" w:rsidRPr="002E090D" w:rsidRDefault="002E090D" w:rsidP="00FA58FF">
      <w:pPr>
        <w:pStyle w:val="NoSpacing"/>
        <w:rPr>
          <w:rStyle w:val="Hyperlink"/>
          <w:rFonts w:cstheme="minorHAnsi"/>
        </w:rPr>
      </w:pPr>
      <w:r>
        <w:rPr>
          <w:rFonts w:cstheme="minorHAnsi"/>
        </w:rPr>
        <w:lastRenderedPageBreak/>
        <w:fldChar w:fldCharType="begin"/>
      </w:r>
      <w:r>
        <w:rPr>
          <w:rFonts w:cstheme="minorHAnsi"/>
        </w:rPr>
        <w:instrText xml:space="preserve"> HYPERLINK "https://www.whatcanyoudocampaign.org/psa-campaigns/working-works-psa/" </w:instrText>
      </w:r>
      <w:r>
        <w:rPr>
          <w:rFonts w:cstheme="minorHAnsi"/>
        </w:rPr>
        <w:fldChar w:fldCharType="separate"/>
      </w:r>
      <w:r w:rsidR="009B4618" w:rsidRPr="002E090D">
        <w:rPr>
          <w:rStyle w:val="Hyperlink"/>
          <w:rFonts w:cstheme="minorHAnsi"/>
        </w:rPr>
        <w:t>“</w:t>
      </w:r>
      <w:r w:rsidR="009624F1" w:rsidRPr="002E090D">
        <w:rPr>
          <w:rStyle w:val="Hyperlink"/>
          <w:rFonts w:cstheme="minorHAnsi"/>
        </w:rPr>
        <w:t>Working Works</w:t>
      </w:r>
      <w:r w:rsidR="009B4618" w:rsidRPr="002E090D">
        <w:rPr>
          <w:rStyle w:val="Hyperlink"/>
          <w:rFonts w:cstheme="minorHAnsi"/>
        </w:rPr>
        <w:t>”</w:t>
      </w:r>
      <w:r w:rsidR="009624F1" w:rsidRPr="002E090D">
        <w:rPr>
          <w:rStyle w:val="Hyperlink"/>
          <w:rFonts w:cstheme="minorHAnsi"/>
        </w:rPr>
        <w:t xml:space="preserve"> Campaign</w:t>
      </w:r>
    </w:p>
    <w:p w14:paraId="4ADE26DE" w14:textId="0D002C99" w:rsidR="009624F1" w:rsidRPr="00201ED9" w:rsidRDefault="002E090D" w:rsidP="00FA58FF">
      <w:pPr>
        <w:pStyle w:val="NoSpacing"/>
        <w:rPr>
          <w:rFonts w:cstheme="minorHAnsi"/>
        </w:rPr>
      </w:pPr>
      <w:r>
        <w:rPr>
          <w:rFonts w:cstheme="minorHAnsi"/>
        </w:rPr>
        <w:fldChar w:fldCharType="end"/>
      </w:r>
      <w:r w:rsidR="009B4618">
        <w:rPr>
          <w:rFonts w:cstheme="minorHAnsi"/>
          <w:shd w:val="clear" w:color="auto" w:fill="FFFFFF"/>
        </w:rPr>
        <w:t>This</w:t>
      </w:r>
      <w:r w:rsidR="009624F1" w:rsidRPr="00201ED9">
        <w:rPr>
          <w:rFonts w:cstheme="minorHAnsi"/>
          <w:shd w:val="clear" w:color="auto" w:fill="FFFFFF"/>
        </w:rPr>
        <w:t xml:space="preserve"> </w:t>
      </w:r>
      <w:r w:rsidR="009B4618">
        <w:rPr>
          <w:rFonts w:cstheme="minorHAnsi"/>
          <w:shd w:val="clear" w:color="auto" w:fill="FFFFFF"/>
        </w:rPr>
        <w:t xml:space="preserve">public education campaign from the Campaign for Disability Employment </w:t>
      </w:r>
      <w:r w:rsidR="00567B94">
        <w:rPr>
          <w:rFonts w:cstheme="minorHAnsi"/>
          <w:shd w:val="clear" w:color="auto" w:fill="FFFFFF"/>
        </w:rPr>
        <w:t xml:space="preserve">centers around a national </w:t>
      </w:r>
      <w:r w:rsidR="009624F1" w:rsidRPr="00201ED9">
        <w:rPr>
          <w:rFonts w:cstheme="minorHAnsi"/>
          <w:shd w:val="clear" w:color="auto" w:fill="FFFFFF"/>
        </w:rPr>
        <w:t xml:space="preserve">public service </w:t>
      </w:r>
      <w:r w:rsidR="00567B94">
        <w:rPr>
          <w:rFonts w:cstheme="minorHAnsi"/>
          <w:shd w:val="clear" w:color="auto" w:fill="FFFFFF"/>
        </w:rPr>
        <w:t xml:space="preserve">announcement (PSA) called “Working Works.” </w:t>
      </w:r>
      <w:r w:rsidR="009624F1" w:rsidRPr="00201ED9">
        <w:rPr>
          <w:rFonts w:cstheme="minorHAnsi"/>
          <w:shd w:val="clear" w:color="auto" w:fill="FFFFFF"/>
        </w:rPr>
        <w:t>Through the voices of several individuals</w:t>
      </w:r>
      <w:r w:rsidR="00245275">
        <w:rPr>
          <w:rFonts w:cstheme="minorHAnsi"/>
          <w:shd w:val="clear" w:color="auto" w:fill="FFFFFF"/>
        </w:rPr>
        <w:t>—</w:t>
      </w:r>
      <w:r w:rsidR="00567B94">
        <w:rPr>
          <w:rFonts w:cstheme="minorHAnsi"/>
          <w:shd w:val="clear" w:color="auto" w:fill="FFFFFF"/>
        </w:rPr>
        <w:t xml:space="preserve"> including baseball legend Cal Ripken, Jr.</w:t>
      </w:r>
      <w:r w:rsidR="00245275">
        <w:rPr>
          <w:rFonts w:cstheme="minorHAnsi"/>
          <w:shd w:val="clear" w:color="auto" w:fill="FFFFFF"/>
        </w:rPr>
        <w:t>—</w:t>
      </w:r>
      <w:r w:rsidR="009624F1" w:rsidRPr="00201ED9">
        <w:rPr>
          <w:rFonts w:cstheme="minorHAnsi"/>
          <w:shd w:val="clear" w:color="auto" w:fill="FFFFFF"/>
        </w:rPr>
        <w:t xml:space="preserve">“Working Works” </w:t>
      </w:r>
      <w:r w:rsidR="00245275">
        <w:rPr>
          <w:rFonts w:cstheme="minorHAnsi"/>
          <w:shd w:val="clear" w:color="auto" w:fill="FFFFFF"/>
        </w:rPr>
        <w:t>e</w:t>
      </w:r>
      <w:r w:rsidR="009624F1" w:rsidRPr="00201ED9">
        <w:rPr>
          <w:rFonts w:cstheme="minorHAnsi"/>
          <w:shd w:val="clear" w:color="auto" w:fill="FFFFFF"/>
        </w:rPr>
        <w:t>xplores the many reasons people work, including after injury or illness.</w:t>
      </w:r>
      <w:r w:rsidR="00C024D1">
        <w:rPr>
          <w:rFonts w:cstheme="minorHAnsi"/>
          <w:shd w:val="clear" w:color="auto" w:fill="FFFFFF"/>
        </w:rPr>
        <w:t xml:space="preserve"> </w:t>
      </w:r>
      <w:r w:rsidR="00C024D1">
        <w:rPr>
          <w:rFonts w:cstheme="minorHAnsi"/>
        </w:rPr>
        <w:t xml:space="preserve">Several free materials are available to complement the PSA, including a series of </w:t>
      </w:r>
      <w:hyperlink r:id="rId19" w:history="1">
        <w:r w:rsidR="00C024D1" w:rsidRPr="0007326C">
          <w:rPr>
            <w:rStyle w:val="Hyperlink"/>
            <w:rFonts w:cstheme="minorHAnsi"/>
          </w:rPr>
          <w:t>posters</w:t>
        </w:r>
      </w:hyperlink>
      <w:r w:rsidR="00C024D1">
        <w:rPr>
          <w:rStyle w:val="Hyperlink"/>
          <w:rFonts w:cstheme="minorHAnsi"/>
        </w:rPr>
        <w:t>;</w:t>
      </w:r>
      <w:r w:rsidR="00C024D1">
        <w:rPr>
          <w:rFonts w:cstheme="minorHAnsi"/>
        </w:rPr>
        <w:t xml:space="preserve"> discussion guides for </w:t>
      </w:r>
      <w:hyperlink r:id="rId20" w:history="1">
        <w:r w:rsidR="00C024D1" w:rsidRPr="0007326C">
          <w:rPr>
            <w:rStyle w:val="Hyperlink"/>
            <w:rFonts w:cstheme="minorHAnsi"/>
          </w:rPr>
          <w:t>co-workers</w:t>
        </w:r>
      </w:hyperlink>
      <w:r w:rsidR="00C024D1">
        <w:rPr>
          <w:rFonts w:cstheme="minorHAnsi"/>
        </w:rPr>
        <w:t xml:space="preserve"> and </w:t>
      </w:r>
      <w:hyperlink r:id="rId21" w:history="1">
        <w:r w:rsidR="00C024D1" w:rsidRPr="0007326C">
          <w:rPr>
            <w:rStyle w:val="Hyperlink"/>
            <w:rFonts w:cstheme="minorHAnsi"/>
          </w:rPr>
          <w:t>employer representatives</w:t>
        </w:r>
      </w:hyperlink>
      <w:r w:rsidR="00C024D1">
        <w:rPr>
          <w:rStyle w:val="Hyperlink"/>
          <w:rFonts w:cstheme="minorHAnsi"/>
        </w:rPr>
        <w:t>;</w:t>
      </w:r>
      <w:r w:rsidR="00C024D1" w:rsidRPr="00C024D1">
        <w:rPr>
          <w:rStyle w:val="Hyperlink"/>
          <w:rFonts w:cstheme="minorHAnsi"/>
          <w:u w:val="none"/>
        </w:rPr>
        <w:t xml:space="preserve"> </w:t>
      </w:r>
      <w:r w:rsidR="00C024D1">
        <w:rPr>
          <w:rFonts w:cstheme="minorHAnsi"/>
        </w:rPr>
        <w:t xml:space="preserve">and behind-the-scenes </w:t>
      </w:r>
      <w:hyperlink r:id="rId22" w:history="1">
        <w:r w:rsidR="00C024D1" w:rsidRPr="0007326C">
          <w:rPr>
            <w:rStyle w:val="Hyperlink"/>
            <w:rFonts w:cstheme="minorHAnsi"/>
          </w:rPr>
          <w:t>video interviews</w:t>
        </w:r>
      </w:hyperlink>
      <w:r w:rsidR="00C024D1">
        <w:rPr>
          <w:rFonts w:cstheme="minorHAnsi"/>
        </w:rPr>
        <w:t xml:space="preserve"> featur</w:t>
      </w:r>
      <w:r w:rsidR="00C35697">
        <w:rPr>
          <w:rFonts w:cstheme="minorHAnsi"/>
        </w:rPr>
        <w:t xml:space="preserve">ing </w:t>
      </w:r>
      <w:r w:rsidR="00C024D1">
        <w:rPr>
          <w:rFonts w:cstheme="minorHAnsi"/>
        </w:rPr>
        <w:t xml:space="preserve">the compelling </w:t>
      </w:r>
      <w:r w:rsidR="00A604AC">
        <w:rPr>
          <w:rFonts w:cstheme="minorHAnsi"/>
        </w:rPr>
        <w:t>stay-at-work/return-to-work s</w:t>
      </w:r>
      <w:r w:rsidR="00C024D1">
        <w:rPr>
          <w:rFonts w:cstheme="minorHAnsi"/>
        </w:rPr>
        <w:t>tories of the PSA cast member</w:t>
      </w:r>
      <w:r w:rsidR="00E71191">
        <w:rPr>
          <w:rFonts w:cstheme="minorHAnsi"/>
        </w:rPr>
        <w:t>s.</w:t>
      </w:r>
      <w:r w:rsidR="00245275">
        <w:rPr>
          <w:rFonts w:cstheme="minorHAnsi"/>
          <w:shd w:val="clear" w:color="auto" w:fill="FFFFFF"/>
        </w:rPr>
        <w:t xml:space="preserve"> </w:t>
      </w:r>
      <w:r w:rsidR="009624F1" w:rsidRPr="00201ED9">
        <w:rPr>
          <w:rFonts w:cstheme="minorHAnsi"/>
          <w:shd w:val="clear" w:color="auto" w:fill="FFFFFF"/>
        </w:rPr>
        <w:t> </w:t>
      </w:r>
      <w:r w:rsidR="009624F1" w:rsidRPr="00201ED9">
        <w:rPr>
          <w:rFonts w:cstheme="minorHAnsi"/>
        </w:rPr>
        <w:t xml:space="preserve"> </w:t>
      </w:r>
    </w:p>
    <w:p w14:paraId="296A8C51" w14:textId="77777777" w:rsidR="009624F1" w:rsidRDefault="009624F1" w:rsidP="00FA58FF">
      <w:pPr>
        <w:pStyle w:val="NoSpacing"/>
      </w:pPr>
    </w:p>
    <w:p w14:paraId="3A0B9943" w14:textId="3D09140F" w:rsidR="009C60CD" w:rsidRPr="009C60CD" w:rsidRDefault="009C60CD" w:rsidP="000D6E28">
      <w:pPr>
        <w:rPr>
          <w:b/>
          <w:bCs/>
          <w:i/>
          <w:iCs/>
        </w:rPr>
      </w:pPr>
      <w:r w:rsidRPr="009C60CD">
        <w:rPr>
          <w:b/>
          <w:bCs/>
          <w:i/>
          <w:iCs/>
        </w:rPr>
        <w:t>Stay-at-Work/Return-to-Work Resources</w:t>
      </w:r>
      <w:r>
        <w:rPr>
          <w:b/>
          <w:bCs/>
          <w:i/>
          <w:iCs/>
        </w:rPr>
        <w:t>:</w:t>
      </w:r>
    </w:p>
    <w:p w14:paraId="5B7F0F90" w14:textId="77777777" w:rsidR="009C60CD" w:rsidRDefault="009C60CD" w:rsidP="00214314">
      <w:pPr>
        <w:pStyle w:val="NoSpacing"/>
      </w:pPr>
    </w:p>
    <w:p w14:paraId="57334998" w14:textId="77777777" w:rsidR="009C60CD" w:rsidRPr="009624F1" w:rsidRDefault="00271F7C" w:rsidP="009C60CD">
      <w:pPr>
        <w:pStyle w:val="NoSpacing"/>
        <w:rPr>
          <w:lang w:eastAsia="en-US"/>
        </w:rPr>
      </w:pPr>
      <w:hyperlink r:id="rId23" w:history="1">
        <w:r w:rsidR="009C60CD" w:rsidRPr="009624F1">
          <w:rPr>
            <w:rStyle w:val="Hyperlink"/>
            <w:lang w:eastAsia="en-US"/>
          </w:rPr>
          <w:t>Return-to-Work Toolkit for Employees and Employers</w:t>
        </w:r>
      </w:hyperlink>
    </w:p>
    <w:p w14:paraId="659B3531" w14:textId="77777777" w:rsidR="009C60CD" w:rsidRDefault="009C60CD" w:rsidP="009C60CD">
      <w:pPr>
        <w:pStyle w:val="NoSpacing"/>
      </w:pPr>
      <w:r>
        <w:t xml:space="preserve">An online tool from the U.S. Department of Labor’s Office of Disability Employment Policy that helps </w:t>
      </w:r>
      <w:r w:rsidRPr="009624F1">
        <w:t xml:space="preserve">employers and employees understand the return-to-work process and </w:t>
      </w:r>
      <w:r>
        <w:t xml:space="preserve">find </w:t>
      </w:r>
      <w:r w:rsidRPr="009624F1">
        <w:t xml:space="preserve">resources to assist in getting </w:t>
      </w:r>
      <w:r>
        <w:t xml:space="preserve">workers </w:t>
      </w:r>
      <w:r w:rsidRPr="009624F1">
        <w:t>back on the job quickly and smoothly.</w:t>
      </w:r>
    </w:p>
    <w:p w14:paraId="22D3C54E" w14:textId="77777777" w:rsidR="009C60CD" w:rsidRDefault="009C60CD" w:rsidP="00214314">
      <w:pPr>
        <w:pStyle w:val="NoSpacing"/>
      </w:pPr>
    </w:p>
    <w:p w14:paraId="44437A50" w14:textId="6A037CB3" w:rsidR="00214314" w:rsidRDefault="00271F7C" w:rsidP="00214314">
      <w:pPr>
        <w:pStyle w:val="NoSpacing"/>
      </w:pPr>
      <w:hyperlink r:id="rId24" w:history="1">
        <w:r w:rsidR="00214314" w:rsidRPr="00214314">
          <w:rPr>
            <w:rStyle w:val="Hyperlink"/>
          </w:rPr>
          <w:t xml:space="preserve">CSG's Stay-at-Work/Return-to-Work </w:t>
        </w:r>
        <w:r w:rsidR="00C758DD">
          <w:rPr>
            <w:rStyle w:val="Hyperlink"/>
          </w:rPr>
          <w:t xml:space="preserve">(SAW/RTW) </w:t>
        </w:r>
        <w:r w:rsidR="00214314" w:rsidRPr="00214314">
          <w:rPr>
            <w:rStyle w:val="Hyperlink"/>
          </w:rPr>
          <w:t>Toolkit</w:t>
        </w:r>
      </w:hyperlink>
    </w:p>
    <w:p w14:paraId="747F9D55" w14:textId="3DE406B3" w:rsidR="00214314" w:rsidRDefault="00214314" w:rsidP="00DC1178">
      <w:pPr>
        <w:pStyle w:val="NoSpacing"/>
      </w:pPr>
      <w:r>
        <w:t>This resource developed by the Council of State Governments helps state officials increase the employment retention and labor force participation of individuals who acquire and/or are at risk of developing work disabilities, whether on-the-job or off-the-job. While the tool is designed for state policymakers, employers can benefit from the toolkit’s</w:t>
      </w:r>
      <w:r w:rsidR="009F24DF">
        <w:t xml:space="preserve"> </w:t>
      </w:r>
      <w:r>
        <w:t>best practices</w:t>
      </w:r>
      <w:r w:rsidR="009F24DF">
        <w:t xml:space="preserve"> </w:t>
      </w:r>
      <w:r>
        <w:t>and implementation strategies to facilitate positive SAW/RTW outcomes.</w:t>
      </w:r>
    </w:p>
    <w:p w14:paraId="1511E225" w14:textId="77777777" w:rsidR="00214314" w:rsidRDefault="00214314" w:rsidP="00DC1178">
      <w:pPr>
        <w:pStyle w:val="NoSpacing"/>
      </w:pPr>
    </w:p>
    <w:p w14:paraId="41287D84" w14:textId="68538E64" w:rsidR="009C60CD" w:rsidRDefault="00271F7C" w:rsidP="00FA58FF">
      <w:pPr>
        <w:pStyle w:val="NoSpacing"/>
      </w:pPr>
      <w:hyperlink r:id="rId25" w:history="1">
        <w:r w:rsidR="00403D27" w:rsidRPr="00403D27">
          <w:rPr>
            <w:rStyle w:val="Hyperlink"/>
          </w:rPr>
          <w:t xml:space="preserve">State Financial Incentives to Establish Stay-at-Work/Return-to-Work </w:t>
        </w:r>
        <w:r w:rsidR="00BE0FF5">
          <w:rPr>
            <w:rStyle w:val="Hyperlink"/>
          </w:rPr>
          <w:t xml:space="preserve">(SAW/RTW) </w:t>
        </w:r>
        <w:r w:rsidR="00403D27" w:rsidRPr="00403D27">
          <w:rPr>
            <w:rStyle w:val="Hyperlink"/>
          </w:rPr>
          <w:t>Programs, Including Workplace Safety and Illness and Injury Prevention Programs</w:t>
        </w:r>
      </w:hyperlink>
      <w:r w:rsidR="00403D27">
        <w:br/>
      </w:r>
      <w:r w:rsidR="00294A4F">
        <w:t xml:space="preserve">Information from EARN on select </w:t>
      </w:r>
      <w:r w:rsidR="00403D27" w:rsidRPr="00403D27">
        <w:t>state workers</w:t>
      </w:r>
      <w:r w:rsidR="00F179B5">
        <w:t>’</w:t>
      </w:r>
      <w:r w:rsidR="00403D27" w:rsidRPr="00403D27">
        <w:t xml:space="preserve"> compensation programs </w:t>
      </w:r>
      <w:r w:rsidR="00294A4F">
        <w:t xml:space="preserve">that incentivize </w:t>
      </w:r>
      <w:r w:rsidR="00403D27" w:rsidRPr="00403D27">
        <w:t xml:space="preserve">employers to adopt </w:t>
      </w:r>
      <w:r w:rsidR="00294A4F">
        <w:t xml:space="preserve">SAW/RTW programs. </w:t>
      </w:r>
      <w:r w:rsidR="00C53BC9">
        <w:br/>
      </w:r>
      <w:r w:rsidR="00C53BC9">
        <w:br/>
      </w:r>
      <w:hyperlink r:id="rId26" w:history="1">
        <w:r w:rsidR="009C60CD" w:rsidRPr="00403D27">
          <w:rPr>
            <w:rStyle w:val="Hyperlink"/>
          </w:rPr>
          <w:t>Stay-</w:t>
        </w:r>
        <w:r w:rsidR="00F179B5">
          <w:rPr>
            <w:rStyle w:val="Hyperlink"/>
          </w:rPr>
          <w:t>a</w:t>
        </w:r>
        <w:r w:rsidR="009C60CD" w:rsidRPr="00403D27">
          <w:rPr>
            <w:rStyle w:val="Hyperlink"/>
          </w:rPr>
          <w:t>t-Work/Return-to-Work: Supporting Employees Who Experience Unexpected Illness or Disabilit</w:t>
        </w:r>
        <w:r w:rsidR="009C60CD">
          <w:rPr>
            <w:rStyle w:val="Hyperlink"/>
          </w:rPr>
          <w:t>y Fact Sheet</w:t>
        </w:r>
        <w:r w:rsidR="009C60CD" w:rsidRPr="00403D27">
          <w:rPr>
            <w:rStyle w:val="Hyperlink"/>
          </w:rPr>
          <w:br/>
        </w:r>
      </w:hyperlink>
      <w:r w:rsidR="009C60CD" w:rsidRPr="00A90A0A">
        <w:t>A fact sheet from the U.S. Department of Labor’s Office of Disability Employment Policy</w:t>
      </w:r>
      <w:r w:rsidR="009C60CD">
        <w:t xml:space="preserve"> outlining strategies and considerations for employers who are working with employees that experience an unexpected illness or disability.</w:t>
      </w:r>
    </w:p>
    <w:p w14:paraId="1D5DE6AA" w14:textId="77777777" w:rsidR="009C60CD" w:rsidRDefault="009C60CD" w:rsidP="00FA58FF">
      <w:pPr>
        <w:pStyle w:val="NoSpacing"/>
      </w:pPr>
    </w:p>
    <w:p w14:paraId="5444672C" w14:textId="1484A955" w:rsidR="009C60CD" w:rsidRPr="009C60CD" w:rsidRDefault="009C60CD" w:rsidP="00FA58FF">
      <w:pPr>
        <w:pStyle w:val="NoSpacing"/>
        <w:rPr>
          <w:b/>
          <w:bCs/>
          <w:i/>
          <w:iCs/>
        </w:rPr>
      </w:pPr>
      <w:r w:rsidRPr="009C60CD">
        <w:rPr>
          <w:b/>
          <w:bCs/>
          <w:i/>
          <w:iCs/>
        </w:rPr>
        <w:t>Stay-at-Work/Return-to-Work Research and Policy Briefs:</w:t>
      </w:r>
    </w:p>
    <w:p w14:paraId="59BF084F" w14:textId="77777777" w:rsidR="009C60CD" w:rsidRDefault="009C60CD" w:rsidP="00FA58FF">
      <w:pPr>
        <w:pStyle w:val="NoSpacing"/>
      </w:pPr>
    </w:p>
    <w:p w14:paraId="2E16471E" w14:textId="77777777" w:rsidR="00B12623" w:rsidRDefault="00271F7C" w:rsidP="00FA58FF">
      <w:pPr>
        <w:pStyle w:val="NoSpacing"/>
      </w:pPr>
      <w:hyperlink r:id="rId27" w:history="1">
        <w:r w:rsidR="00B14281" w:rsidRPr="00B14281">
          <w:rPr>
            <w:rStyle w:val="Hyperlink"/>
          </w:rPr>
          <w:t xml:space="preserve">Transition Back to Work: Policies to Support Return to Work </w:t>
        </w:r>
        <w:r w:rsidR="00BE0FF5">
          <w:rPr>
            <w:rStyle w:val="Hyperlink"/>
          </w:rPr>
          <w:t xml:space="preserve">(RTW) </w:t>
        </w:r>
        <w:r w:rsidR="00B14281" w:rsidRPr="00B14281">
          <w:rPr>
            <w:rStyle w:val="Hyperlink"/>
          </w:rPr>
          <w:t>after Illness or Injury</w:t>
        </w:r>
      </w:hyperlink>
      <w:r w:rsidR="00B14281">
        <w:br/>
      </w:r>
      <w:r w:rsidR="00CB4BD6">
        <w:t>This</w:t>
      </w:r>
      <w:r w:rsidR="00087436">
        <w:t xml:space="preserve"> </w:t>
      </w:r>
      <w:r w:rsidR="00403D27">
        <w:t>paper</w:t>
      </w:r>
      <w:r w:rsidR="00CB4BD6">
        <w:t xml:space="preserve">, prepared by </w:t>
      </w:r>
      <w:r w:rsidR="00BE0FF5">
        <w:t xml:space="preserve">IMPAQ International </w:t>
      </w:r>
      <w:r w:rsidR="00CB4BD6">
        <w:t xml:space="preserve">for </w:t>
      </w:r>
      <w:r w:rsidR="00BE0FF5">
        <w:t>the Office of Disability Employment Policy</w:t>
      </w:r>
      <w:r w:rsidR="00CB4BD6">
        <w:t>,</w:t>
      </w:r>
      <w:r w:rsidR="00BE0FF5">
        <w:t xml:space="preserve"> </w:t>
      </w:r>
      <w:r w:rsidR="00403D27" w:rsidRPr="00403D27">
        <w:t>examin</w:t>
      </w:r>
      <w:r w:rsidR="00CB4BD6">
        <w:t>es</w:t>
      </w:r>
      <w:r w:rsidR="00403D27" w:rsidRPr="00403D27">
        <w:t xml:space="preserve"> strategies to assist workers who have lost work time due to illness or injury in making the transition back to work as early as possible in their recovery process. </w:t>
      </w:r>
      <w:r w:rsidR="00087436">
        <w:t xml:space="preserve">Explores </w:t>
      </w:r>
      <w:r w:rsidR="00403D27" w:rsidRPr="00403D27">
        <w:t>partial RTW strategies for those not yet able to return to full-duty at their previous jobs, as well as incentives for employers to ease the transition back to work through strategies such as light duty, reduced hours, workplace modifications, or transitional jobs</w:t>
      </w:r>
      <w:r w:rsidR="00403D27">
        <w:t>.</w:t>
      </w:r>
      <w:r w:rsidR="00C53BC9">
        <w:br/>
      </w:r>
      <w:r w:rsidR="00C53BC9">
        <w:br/>
      </w:r>
    </w:p>
    <w:p w14:paraId="1DD9620F" w14:textId="77777777" w:rsidR="00B12623" w:rsidRDefault="00B12623">
      <w:r>
        <w:br w:type="page"/>
      </w:r>
    </w:p>
    <w:p w14:paraId="411C106E" w14:textId="360739E7" w:rsidR="006268BD" w:rsidRDefault="00271F7C" w:rsidP="00B12623">
      <w:pPr>
        <w:pStyle w:val="NoSpacing"/>
      </w:pPr>
      <w:hyperlink r:id="rId28" w:history="1">
        <w:r w:rsidR="00403D27" w:rsidRPr="00403D27">
          <w:rPr>
            <w:rStyle w:val="Hyperlink"/>
          </w:rPr>
          <w:t>Best Practices in Employee Retention and Return-to-Work: An In-Depth Look Inside an Exemplary American Corporation</w:t>
        </w:r>
      </w:hyperlink>
      <w:r w:rsidR="00403D27">
        <w:br/>
      </w:r>
      <w:r w:rsidR="00403D27" w:rsidRPr="00403D27">
        <w:t xml:space="preserve">This report </w:t>
      </w:r>
      <w:r w:rsidR="00597CB6">
        <w:t xml:space="preserve">from the </w:t>
      </w:r>
      <w:r w:rsidR="00597CB6" w:rsidRPr="00597CB6">
        <w:rPr>
          <w:iCs/>
        </w:rPr>
        <w:t xml:space="preserve">National Disability Institute’s LEAD Center </w:t>
      </w:r>
      <w:r w:rsidR="00403D27" w:rsidRPr="00403D27">
        <w:t xml:space="preserve">highlights best practices and strategies gleaned from </w:t>
      </w:r>
      <w:r w:rsidR="006A7A61">
        <w:t>an anonymous, large, successful corporation</w:t>
      </w:r>
      <w:r w:rsidR="00403D27" w:rsidRPr="00403D27">
        <w:t xml:space="preserve"> at the individual, workplace, and systems levels that benefit employers and employees. </w:t>
      </w:r>
    </w:p>
    <w:p w14:paraId="4E4533BA" w14:textId="77777777" w:rsidR="00B12623" w:rsidRDefault="00B12623" w:rsidP="00B12623">
      <w:pPr>
        <w:pStyle w:val="NoSpacing"/>
        <w:rPr>
          <w:b/>
          <w:sz w:val="28"/>
          <w:u w:val="single"/>
        </w:rPr>
      </w:pPr>
    </w:p>
    <w:p w14:paraId="05887E8E" w14:textId="71383766" w:rsidR="004E7654" w:rsidRPr="009D46BC" w:rsidRDefault="009D46BC" w:rsidP="00E85E39">
      <w:pPr>
        <w:pStyle w:val="Heading1"/>
      </w:pPr>
      <w:bookmarkStart w:id="2" w:name="_Toc15395851"/>
      <w:r w:rsidRPr="009D46BC">
        <w:t xml:space="preserve">Resources for </w:t>
      </w:r>
      <w:r w:rsidR="004E7654" w:rsidRPr="009D46BC">
        <w:t>Health</w:t>
      </w:r>
      <w:r w:rsidR="0048244E">
        <w:t xml:space="preserve"> C</w:t>
      </w:r>
      <w:r w:rsidR="004E7654" w:rsidRPr="009D46BC">
        <w:t>are Providers</w:t>
      </w:r>
      <w:bookmarkEnd w:id="2"/>
    </w:p>
    <w:p w14:paraId="01596CEC" w14:textId="77777777" w:rsidR="009D46BC" w:rsidRPr="00403D27" w:rsidRDefault="009D46BC" w:rsidP="00FA58FF">
      <w:pPr>
        <w:pStyle w:val="NoSpacing"/>
        <w:rPr>
          <w:u w:val="single"/>
        </w:rPr>
      </w:pPr>
    </w:p>
    <w:p w14:paraId="3B7AADB8" w14:textId="45A2EDD7" w:rsidR="00B41CD4" w:rsidRDefault="00B41CD4" w:rsidP="00B41CD4">
      <w:pPr>
        <w:pStyle w:val="NoSpacing"/>
        <w:rPr>
          <w:b/>
          <w:bCs/>
          <w:i/>
          <w:iCs/>
        </w:rPr>
      </w:pPr>
      <w:r w:rsidRPr="009C60CD">
        <w:rPr>
          <w:b/>
          <w:bCs/>
          <w:i/>
          <w:iCs/>
        </w:rPr>
        <w:t>Stay-at-Work/Return-to-Work Res</w:t>
      </w:r>
      <w:r>
        <w:rPr>
          <w:b/>
          <w:bCs/>
          <w:i/>
          <w:iCs/>
        </w:rPr>
        <w:t>ources:</w:t>
      </w:r>
    </w:p>
    <w:p w14:paraId="168B1884" w14:textId="77777777" w:rsidR="00B41CD4" w:rsidRDefault="00B41CD4" w:rsidP="00B41CD4">
      <w:pPr>
        <w:pStyle w:val="NoSpacing"/>
        <w:rPr>
          <w:b/>
          <w:bCs/>
          <w:i/>
          <w:iCs/>
        </w:rPr>
      </w:pPr>
    </w:p>
    <w:p w14:paraId="5A74548D" w14:textId="77777777" w:rsidR="00B41CD4" w:rsidRDefault="00271F7C" w:rsidP="00B41CD4">
      <w:pPr>
        <w:pStyle w:val="NoSpacing"/>
      </w:pPr>
      <w:hyperlink r:id="rId29" w:history="1">
        <w:r w:rsidR="00B41CD4" w:rsidRPr="00E641E5">
          <w:rPr>
            <w:rStyle w:val="Hyperlink"/>
          </w:rPr>
          <w:t>A to Z of Disability and Accommodations</w:t>
        </w:r>
      </w:hyperlink>
    </w:p>
    <w:p w14:paraId="3BDC7E17" w14:textId="77777777" w:rsidR="00B41CD4" w:rsidRDefault="00B41CD4" w:rsidP="00B41CD4">
      <w:pPr>
        <w:pStyle w:val="NoSpacing"/>
      </w:pPr>
      <w:r>
        <w:t xml:space="preserve">This resource from the Job Accommodation Network </w:t>
      </w:r>
      <w:r w:rsidRPr="00D81F08">
        <w:t>provides guidance on workplace accommodations and disability employment issues</w:t>
      </w:r>
      <w:r>
        <w:t>.</w:t>
      </w:r>
      <w:r w:rsidRPr="00D81F08">
        <w:t xml:space="preserve"> </w:t>
      </w:r>
    </w:p>
    <w:p w14:paraId="14DDFC2B" w14:textId="77777777" w:rsidR="00B41CD4" w:rsidRDefault="00B41CD4" w:rsidP="00B41CD4">
      <w:pPr>
        <w:pStyle w:val="NoSpacing"/>
      </w:pPr>
    </w:p>
    <w:p w14:paraId="4B9D5847" w14:textId="77777777" w:rsidR="00B41CD4" w:rsidRDefault="00271F7C" w:rsidP="00B41CD4">
      <w:pPr>
        <w:pStyle w:val="NoSpacing"/>
      </w:pPr>
      <w:hyperlink r:id="rId30" w:history="1">
        <w:r w:rsidR="00B41CD4" w:rsidRPr="00214314">
          <w:rPr>
            <w:rStyle w:val="Hyperlink"/>
          </w:rPr>
          <w:t xml:space="preserve">CSG's Stay-at-Work/Return-to-Work </w:t>
        </w:r>
        <w:r w:rsidR="00B41CD4">
          <w:rPr>
            <w:rStyle w:val="Hyperlink"/>
          </w:rPr>
          <w:t xml:space="preserve">(SAW/RTW) </w:t>
        </w:r>
        <w:r w:rsidR="00B41CD4" w:rsidRPr="00214314">
          <w:rPr>
            <w:rStyle w:val="Hyperlink"/>
          </w:rPr>
          <w:t>Toolkit</w:t>
        </w:r>
      </w:hyperlink>
    </w:p>
    <w:p w14:paraId="6E5072C8" w14:textId="307A3987" w:rsidR="00B41CD4" w:rsidRDefault="00B41CD4" w:rsidP="00B41CD4">
      <w:pPr>
        <w:pStyle w:val="NoSpacing"/>
      </w:pPr>
      <w:r>
        <w:t>This resource developed by the Council of State Governments helps state officials increase the employment retention and labor force participation of individuals who acquire and/or are at risk of developing work disabilities, whether on-the-job or off-the-job. While the tool is designed for state policymakers, health care providers can benefit from the toolkit’s best practices and implementation strategies to facilitate positive SAW/RTW outcomes.</w:t>
      </w:r>
    </w:p>
    <w:p w14:paraId="5BFDC9A8" w14:textId="322E152A" w:rsidR="00F179B5" w:rsidRDefault="00F179B5" w:rsidP="00B41CD4">
      <w:pPr>
        <w:pStyle w:val="NoSpacing"/>
      </w:pPr>
    </w:p>
    <w:p w14:paraId="5B3BCC68" w14:textId="77777777" w:rsidR="00F179B5" w:rsidRPr="002E090D" w:rsidRDefault="00F179B5" w:rsidP="00F179B5">
      <w:pPr>
        <w:pStyle w:val="NoSpacing"/>
        <w:rPr>
          <w:rStyle w:val="Hyperlink"/>
          <w:rFonts w:cstheme="minorHAnsi"/>
        </w:rPr>
      </w:pPr>
      <w:r>
        <w:rPr>
          <w:rFonts w:cstheme="minorHAnsi"/>
        </w:rPr>
        <w:fldChar w:fldCharType="begin"/>
      </w:r>
      <w:r>
        <w:rPr>
          <w:rFonts w:cstheme="minorHAnsi"/>
        </w:rPr>
        <w:instrText xml:space="preserve"> HYPERLINK "https://www.whatcanyoudocampaign.org/psa-campaigns/working-works-psa/" </w:instrText>
      </w:r>
      <w:r>
        <w:rPr>
          <w:rFonts w:cstheme="minorHAnsi"/>
        </w:rPr>
        <w:fldChar w:fldCharType="separate"/>
      </w:r>
      <w:r w:rsidRPr="002E090D">
        <w:rPr>
          <w:rStyle w:val="Hyperlink"/>
          <w:rFonts w:cstheme="minorHAnsi"/>
        </w:rPr>
        <w:t>“Working Works” Campaign</w:t>
      </w:r>
    </w:p>
    <w:p w14:paraId="201D881A" w14:textId="77777777" w:rsidR="00F179B5" w:rsidRDefault="00F179B5" w:rsidP="00F179B5">
      <w:pPr>
        <w:pStyle w:val="NoSpacing"/>
        <w:rPr>
          <w:rFonts w:cstheme="minorHAnsi"/>
        </w:rPr>
      </w:pPr>
      <w:r>
        <w:rPr>
          <w:rFonts w:cstheme="minorHAnsi"/>
        </w:rPr>
        <w:fldChar w:fldCharType="end"/>
      </w:r>
      <w:r>
        <w:rPr>
          <w:rFonts w:cstheme="minorHAnsi"/>
          <w:shd w:val="clear" w:color="auto" w:fill="FFFFFF"/>
        </w:rPr>
        <w:t>This</w:t>
      </w:r>
      <w:r w:rsidRPr="00201ED9">
        <w:rPr>
          <w:rFonts w:cstheme="minorHAnsi"/>
          <w:shd w:val="clear" w:color="auto" w:fill="FFFFFF"/>
        </w:rPr>
        <w:t xml:space="preserve"> </w:t>
      </w:r>
      <w:r>
        <w:rPr>
          <w:rFonts w:cstheme="minorHAnsi"/>
          <w:shd w:val="clear" w:color="auto" w:fill="FFFFFF"/>
        </w:rPr>
        <w:t xml:space="preserve">public education campaign from the Campaign for Disability Employment centers around a national </w:t>
      </w:r>
      <w:r w:rsidRPr="00201ED9">
        <w:rPr>
          <w:rFonts w:cstheme="minorHAnsi"/>
          <w:shd w:val="clear" w:color="auto" w:fill="FFFFFF"/>
        </w:rPr>
        <w:t xml:space="preserve">public service </w:t>
      </w:r>
      <w:r>
        <w:rPr>
          <w:rFonts w:cstheme="minorHAnsi"/>
          <w:shd w:val="clear" w:color="auto" w:fill="FFFFFF"/>
        </w:rPr>
        <w:t xml:space="preserve">announcement (PSA) called “Working Works.” </w:t>
      </w:r>
      <w:r w:rsidRPr="00201ED9">
        <w:rPr>
          <w:rFonts w:cstheme="minorHAnsi"/>
          <w:shd w:val="clear" w:color="auto" w:fill="FFFFFF"/>
        </w:rPr>
        <w:t>Through the voices of several individuals</w:t>
      </w:r>
      <w:r>
        <w:rPr>
          <w:rFonts w:cstheme="minorHAnsi"/>
          <w:shd w:val="clear" w:color="auto" w:fill="FFFFFF"/>
        </w:rPr>
        <w:t>—including an occupational therapist—</w:t>
      </w:r>
      <w:r w:rsidRPr="00201ED9">
        <w:rPr>
          <w:rFonts w:cstheme="minorHAnsi"/>
          <w:shd w:val="clear" w:color="auto" w:fill="FFFFFF"/>
        </w:rPr>
        <w:t xml:space="preserve">“Working Works” </w:t>
      </w:r>
      <w:r>
        <w:rPr>
          <w:rFonts w:cstheme="minorHAnsi"/>
          <w:shd w:val="clear" w:color="auto" w:fill="FFFFFF"/>
        </w:rPr>
        <w:t>e</w:t>
      </w:r>
      <w:r w:rsidRPr="00201ED9">
        <w:rPr>
          <w:rFonts w:cstheme="minorHAnsi"/>
          <w:shd w:val="clear" w:color="auto" w:fill="FFFFFF"/>
        </w:rPr>
        <w:t>xplores the many reasons people work, including after injury or illness.</w:t>
      </w:r>
      <w:r>
        <w:rPr>
          <w:rFonts w:cstheme="minorHAnsi"/>
          <w:shd w:val="clear" w:color="auto" w:fill="FFFFFF"/>
        </w:rPr>
        <w:t xml:space="preserve"> </w:t>
      </w:r>
      <w:r>
        <w:rPr>
          <w:rFonts w:cstheme="minorHAnsi"/>
        </w:rPr>
        <w:t xml:space="preserve">Several free materials are available to complement the PSA, including a series of </w:t>
      </w:r>
      <w:hyperlink r:id="rId31" w:history="1">
        <w:r w:rsidRPr="0007326C">
          <w:rPr>
            <w:rStyle w:val="Hyperlink"/>
            <w:rFonts w:cstheme="minorHAnsi"/>
          </w:rPr>
          <w:t>posters</w:t>
        </w:r>
      </w:hyperlink>
      <w:r>
        <w:rPr>
          <w:rStyle w:val="Hyperlink"/>
          <w:rFonts w:cstheme="minorHAnsi"/>
        </w:rPr>
        <w:t>;</w:t>
      </w:r>
      <w:r>
        <w:rPr>
          <w:rFonts w:cstheme="minorHAnsi"/>
        </w:rPr>
        <w:t xml:space="preserve"> a discussion guide for </w:t>
      </w:r>
      <w:hyperlink r:id="rId32" w:history="1">
        <w:r w:rsidRPr="0007326C">
          <w:rPr>
            <w:rStyle w:val="Hyperlink"/>
            <w:rFonts w:cstheme="minorHAnsi"/>
          </w:rPr>
          <w:t>health</w:t>
        </w:r>
        <w:r>
          <w:rPr>
            <w:rStyle w:val="Hyperlink"/>
            <w:rFonts w:cstheme="minorHAnsi"/>
          </w:rPr>
          <w:t xml:space="preserve"> </w:t>
        </w:r>
        <w:r w:rsidRPr="0007326C">
          <w:rPr>
            <w:rStyle w:val="Hyperlink"/>
            <w:rFonts w:cstheme="minorHAnsi"/>
          </w:rPr>
          <w:t>care professionals</w:t>
        </w:r>
      </w:hyperlink>
      <w:r>
        <w:rPr>
          <w:rStyle w:val="Hyperlink"/>
          <w:rFonts w:cstheme="minorHAnsi"/>
        </w:rPr>
        <w:t xml:space="preserve">; </w:t>
      </w:r>
      <w:r>
        <w:rPr>
          <w:rFonts w:cstheme="minorHAnsi"/>
        </w:rPr>
        <w:t xml:space="preserve">and behind-the-scenes </w:t>
      </w:r>
      <w:hyperlink r:id="rId33" w:history="1">
        <w:r w:rsidRPr="0007326C">
          <w:rPr>
            <w:rStyle w:val="Hyperlink"/>
            <w:rFonts w:cstheme="minorHAnsi"/>
          </w:rPr>
          <w:t>video interviews</w:t>
        </w:r>
      </w:hyperlink>
      <w:r>
        <w:rPr>
          <w:rFonts w:cstheme="minorHAnsi"/>
        </w:rPr>
        <w:t xml:space="preserve"> featuring the compelling SAW/RTW stories of the PSA cast members.</w:t>
      </w:r>
    </w:p>
    <w:p w14:paraId="1F505E71" w14:textId="77777777" w:rsidR="00B41CD4" w:rsidRDefault="00B41CD4" w:rsidP="00B41CD4">
      <w:pPr>
        <w:pStyle w:val="NoSpacing"/>
      </w:pPr>
    </w:p>
    <w:p w14:paraId="6943CB39" w14:textId="77777777" w:rsidR="00B41CD4" w:rsidRDefault="00271F7C" w:rsidP="00B41CD4">
      <w:pPr>
        <w:pStyle w:val="TableBullet1"/>
        <w:keepLines/>
        <w:numPr>
          <w:ilvl w:val="0"/>
          <w:numId w:val="0"/>
        </w:numPr>
        <w:spacing w:line="216" w:lineRule="auto"/>
        <w:ind w:left="7"/>
        <w:rPr>
          <w:sz w:val="22"/>
          <w:szCs w:val="24"/>
        </w:rPr>
      </w:pPr>
      <w:hyperlink r:id="rId34" w:history="1">
        <w:r w:rsidR="00B41CD4" w:rsidRPr="005250DF">
          <w:rPr>
            <w:rStyle w:val="Hyperlink"/>
            <w:sz w:val="22"/>
            <w:szCs w:val="24"/>
          </w:rPr>
          <w:t>Early Return to Work</w:t>
        </w:r>
        <w:r w:rsidR="00B41CD4">
          <w:rPr>
            <w:rStyle w:val="Hyperlink"/>
            <w:sz w:val="22"/>
            <w:szCs w:val="24"/>
          </w:rPr>
          <w:t>:</w:t>
        </w:r>
        <w:r w:rsidR="00B41CD4" w:rsidRPr="005250DF">
          <w:rPr>
            <w:rStyle w:val="Hyperlink"/>
            <w:sz w:val="22"/>
            <w:szCs w:val="24"/>
          </w:rPr>
          <w:t xml:space="preserve"> The Early Return to Work (ERTW) Program</w:t>
        </w:r>
      </w:hyperlink>
    </w:p>
    <w:p w14:paraId="68D8300F" w14:textId="77777777" w:rsidR="00B41CD4" w:rsidRDefault="00B41CD4" w:rsidP="00B41CD4">
      <w:pPr>
        <w:pStyle w:val="TableBullet1"/>
        <w:keepLines/>
        <w:numPr>
          <w:ilvl w:val="0"/>
          <w:numId w:val="0"/>
        </w:numPr>
        <w:spacing w:line="216" w:lineRule="auto"/>
        <w:ind w:left="7"/>
        <w:rPr>
          <w:rStyle w:val="Hyperlink"/>
          <w:sz w:val="22"/>
          <w:szCs w:val="24"/>
        </w:rPr>
      </w:pPr>
      <w:r>
        <w:rPr>
          <w:sz w:val="22"/>
          <w:szCs w:val="24"/>
        </w:rPr>
        <w:t xml:space="preserve">This resource from the </w:t>
      </w:r>
      <w:r w:rsidRPr="005250DF">
        <w:rPr>
          <w:sz w:val="22"/>
          <w:szCs w:val="24"/>
        </w:rPr>
        <w:t>Washington State Department of Labor &amp; Industries</w:t>
      </w:r>
      <w:r>
        <w:rPr>
          <w:sz w:val="22"/>
          <w:szCs w:val="24"/>
        </w:rPr>
        <w:t xml:space="preserve"> highlights t</w:t>
      </w:r>
      <w:r w:rsidRPr="005250DF">
        <w:rPr>
          <w:sz w:val="22"/>
          <w:szCs w:val="24"/>
        </w:rPr>
        <w:t xml:space="preserve">hree </w:t>
      </w:r>
      <w:r>
        <w:rPr>
          <w:sz w:val="22"/>
          <w:szCs w:val="24"/>
        </w:rPr>
        <w:t xml:space="preserve">return-to-work </w:t>
      </w:r>
      <w:r w:rsidRPr="005250DF">
        <w:rPr>
          <w:sz w:val="22"/>
          <w:szCs w:val="24"/>
        </w:rPr>
        <w:t>success stories</w:t>
      </w:r>
      <w:r>
        <w:rPr>
          <w:sz w:val="22"/>
          <w:szCs w:val="24"/>
        </w:rPr>
        <w:t xml:space="preserve">. </w:t>
      </w:r>
      <w:r w:rsidRPr="005250DF">
        <w:rPr>
          <w:sz w:val="22"/>
          <w:szCs w:val="24"/>
        </w:rPr>
        <w:t xml:space="preserve"> </w:t>
      </w:r>
    </w:p>
    <w:p w14:paraId="48B88DEF" w14:textId="77777777" w:rsidR="00B41CD4" w:rsidRPr="005250DF" w:rsidRDefault="00B41CD4" w:rsidP="00B41CD4">
      <w:pPr>
        <w:pStyle w:val="TableBullet1"/>
        <w:keepLines/>
        <w:numPr>
          <w:ilvl w:val="0"/>
          <w:numId w:val="0"/>
        </w:numPr>
        <w:spacing w:line="216" w:lineRule="auto"/>
        <w:ind w:left="7"/>
        <w:rPr>
          <w:rStyle w:val="Hyperlink"/>
          <w:sz w:val="22"/>
          <w:szCs w:val="24"/>
        </w:rPr>
      </w:pPr>
    </w:p>
    <w:p w14:paraId="6B29E589" w14:textId="77777777" w:rsidR="00B41CD4" w:rsidRDefault="00271F7C" w:rsidP="00B41CD4">
      <w:pPr>
        <w:pStyle w:val="TableBullet2"/>
        <w:keepNext/>
        <w:keepLines/>
        <w:numPr>
          <w:ilvl w:val="0"/>
          <w:numId w:val="0"/>
        </w:numPr>
        <w:spacing w:line="216" w:lineRule="auto"/>
        <w:rPr>
          <w:sz w:val="22"/>
        </w:rPr>
      </w:pPr>
      <w:hyperlink r:id="rId35" w:history="1">
        <w:r w:rsidR="00B41CD4" w:rsidRPr="007E736D">
          <w:rPr>
            <w:rStyle w:val="Hyperlink"/>
            <w:sz w:val="22"/>
          </w:rPr>
          <w:t>A New Way to Engage Physicians</w:t>
        </w:r>
      </w:hyperlink>
    </w:p>
    <w:p w14:paraId="41579F32" w14:textId="77777777" w:rsidR="00B41CD4" w:rsidRDefault="00B41CD4" w:rsidP="00B41CD4">
      <w:pPr>
        <w:pStyle w:val="TableBullet2"/>
        <w:keepLines/>
        <w:numPr>
          <w:ilvl w:val="0"/>
          <w:numId w:val="0"/>
        </w:numPr>
        <w:spacing w:line="216" w:lineRule="auto"/>
        <w:ind w:left="7"/>
        <w:rPr>
          <w:sz w:val="22"/>
        </w:rPr>
      </w:pPr>
      <w:r>
        <w:rPr>
          <w:sz w:val="22"/>
        </w:rPr>
        <w:t>This</w:t>
      </w:r>
      <w:r w:rsidRPr="007E736D">
        <w:rPr>
          <w:sz w:val="22"/>
        </w:rPr>
        <w:t xml:space="preserve"> Institute for Healthcare Improvement</w:t>
      </w:r>
      <w:r>
        <w:rPr>
          <w:sz w:val="22"/>
        </w:rPr>
        <w:t xml:space="preserve"> </w:t>
      </w:r>
      <w:r w:rsidRPr="007E736D">
        <w:rPr>
          <w:sz w:val="22"/>
        </w:rPr>
        <w:t xml:space="preserve">blog post provides some tips for engaging physicians in projects that can be applied to early </w:t>
      </w:r>
      <w:r>
        <w:rPr>
          <w:sz w:val="22"/>
          <w:szCs w:val="24"/>
        </w:rPr>
        <w:t xml:space="preserve">stay at work/return to work. </w:t>
      </w:r>
      <w:r w:rsidRPr="007E736D">
        <w:rPr>
          <w:sz w:val="22"/>
        </w:rPr>
        <w:t xml:space="preserve"> </w:t>
      </w:r>
    </w:p>
    <w:p w14:paraId="74DA034C" w14:textId="2D96F9D9" w:rsidR="00B41CD4" w:rsidRDefault="00B41CD4" w:rsidP="00B41CD4">
      <w:pPr>
        <w:pStyle w:val="NoSpacing"/>
        <w:rPr>
          <w:b/>
          <w:bCs/>
          <w:i/>
          <w:iCs/>
        </w:rPr>
      </w:pPr>
    </w:p>
    <w:p w14:paraId="0AF6FF88" w14:textId="77777777" w:rsidR="00E34998" w:rsidRDefault="00271F7C" w:rsidP="00E34998">
      <w:pPr>
        <w:pStyle w:val="TableBullet1"/>
        <w:keepLines/>
        <w:numPr>
          <w:ilvl w:val="0"/>
          <w:numId w:val="0"/>
        </w:numPr>
        <w:spacing w:line="216" w:lineRule="auto"/>
        <w:ind w:left="7"/>
        <w:rPr>
          <w:rFonts w:cstheme="minorHAnsi"/>
          <w:sz w:val="22"/>
        </w:rPr>
      </w:pPr>
      <w:hyperlink r:id="rId36" w:history="1">
        <w:r w:rsidR="00E34998" w:rsidRPr="00F3398E">
          <w:rPr>
            <w:rStyle w:val="Hyperlink"/>
            <w:rFonts w:cstheme="minorHAnsi"/>
            <w:sz w:val="22"/>
          </w:rPr>
          <w:t>Return-to-Work Best Practices</w:t>
        </w:r>
      </w:hyperlink>
      <w:r w:rsidR="00E34998" w:rsidRPr="001D796D">
        <w:rPr>
          <w:rFonts w:cstheme="minorHAnsi"/>
          <w:sz w:val="22"/>
        </w:rPr>
        <w:t xml:space="preserve"> </w:t>
      </w:r>
    </w:p>
    <w:p w14:paraId="40B5AA9F" w14:textId="4FAF4FF2" w:rsidR="00E34998" w:rsidRPr="001D796D" w:rsidRDefault="00E34998" w:rsidP="00E34998">
      <w:pPr>
        <w:pStyle w:val="TableBullet1"/>
        <w:keepLines/>
        <w:numPr>
          <w:ilvl w:val="0"/>
          <w:numId w:val="0"/>
        </w:numPr>
        <w:spacing w:line="216" w:lineRule="auto"/>
        <w:ind w:left="7"/>
        <w:rPr>
          <w:rFonts w:cstheme="minorHAnsi"/>
          <w:sz w:val="22"/>
        </w:rPr>
      </w:pPr>
      <w:r w:rsidRPr="001D796D">
        <w:rPr>
          <w:rFonts w:cstheme="minorHAnsi"/>
          <w:sz w:val="22"/>
        </w:rPr>
        <w:t xml:space="preserve">This online commentary </w:t>
      </w:r>
      <w:r>
        <w:rPr>
          <w:rFonts w:cstheme="minorHAnsi"/>
          <w:sz w:val="22"/>
        </w:rPr>
        <w:t xml:space="preserve">from the </w:t>
      </w:r>
      <w:r w:rsidRPr="001D796D">
        <w:rPr>
          <w:rFonts w:cstheme="minorHAnsi"/>
          <w:sz w:val="22"/>
        </w:rPr>
        <w:t xml:space="preserve">International Risk Management Institute, Inc describes </w:t>
      </w:r>
      <w:r w:rsidR="00F179B5">
        <w:rPr>
          <w:rFonts w:cstheme="minorHAnsi"/>
          <w:sz w:val="22"/>
        </w:rPr>
        <w:t>return-to-work</w:t>
      </w:r>
      <w:r w:rsidRPr="001D796D">
        <w:rPr>
          <w:rFonts w:cstheme="minorHAnsi"/>
          <w:sz w:val="22"/>
        </w:rPr>
        <w:t xml:space="preserve"> best practices. </w:t>
      </w:r>
    </w:p>
    <w:p w14:paraId="162B01F6" w14:textId="77777777" w:rsidR="00E34998" w:rsidRDefault="00E34998" w:rsidP="00B41CD4">
      <w:pPr>
        <w:pStyle w:val="NoSpacing"/>
        <w:rPr>
          <w:b/>
          <w:bCs/>
          <w:i/>
          <w:iCs/>
        </w:rPr>
      </w:pPr>
    </w:p>
    <w:p w14:paraId="1A826307" w14:textId="77777777" w:rsidR="00B12623" w:rsidRDefault="00B12623">
      <w:pPr>
        <w:rPr>
          <w:b/>
          <w:bCs/>
          <w:i/>
          <w:iCs/>
        </w:rPr>
      </w:pPr>
      <w:r>
        <w:rPr>
          <w:b/>
          <w:bCs/>
          <w:i/>
          <w:iCs/>
        </w:rPr>
        <w:br w:type="page"/>
      </w:r>
    </w:p>
    <w:p w14:paraId="54EB9926" w14:textId="4FDE341F" w:rsidR="00B41CD4" w:rsidRPr="009C60CD" w:rsidRDefault="00B41CD4" w:rsidP="00B41CD4">
      <w:pPr>
        <w:pStyle w:val="NoSpacing"/>
        <w:rPr>
          <w:b/>
          <w:bCs/>
          <w:i/>
          <w:iCs/>
        </w:rPr>
      </w:pPr>
      <w:r w:rsidRPr="009C60CD">
        <w:rPr>
          <w:b/>
          <w:bCs/>
          <w:i/>
          <w:iCs/>
        </w:rPr>
        <w:lastRenderedPageBreak/>
        <w:t>Stay-at-Work/Return-to-Work Research and Policy Briefs:</w:t>
      </w:r>
    </w:p>
    <w:p w14:paraId="5F44BA23" w14:textId="77777777" w:rsidR="00B41CD4" w:rsidRDefault="00B41CD4" w:rsidP="00AB2B2D">
      <w:pPr>
        <w:pStyle w:val="TableBullet1"/>
        <w:keepLines/>
        <w:numPr>
          <w:ilvl w:val="0"/>
          <w:numId w:val="0"/>
        </w:numPr>
        <w:spacing w:line="216" w:lineRule="auto"/>
        <w:ind w:left="7"/>
      </w:pPr>
    </w:p>
    <w:p w14:paraId="5408C85B" w14:textId="5692F819" w:rsidR="00AB2B2D" w:rsidRDefault="00271F7C" w:rsidP="00AB2B2D">
      <w:pPr>
        <w:pStyle w:val="TableBullet1"/>
        <w:keepLines/>
        <w:numPr>
          <w:ilvl w:val="0"/>
          <w:numId w:val="0"/>
        </w:numPr>
        <w:spacing w:line="216" w:lineRule="auto"/>
        <w:ind w:left="7"/>
        <w:rPr>
          <w:iCs/>
          <w:sz w:val="22"/>
          <w:szCs w:val="24"/>
        </w:rPr>
      </w:pPr>
      <w:hyperlink r:id="rId37" w:history="1">
        <w:r w:rsidR="00AB2B2D" w:rsidRPr="00AB2B2D">
          <w:rPr>
            <w:rStyle w:val="Hyperlink"/>
            <w:iCs/>
            <w:sz w:val="22"/>
            <w:szCs w:val="24"/>
          </w:rPr>
          <w:t>Return to Work: A Foundational Approach to Return to Function</w:t>
        </w:r>
      </w:hyperlink>
      <w:r w:rsidR="00AB2B2D">
        <w:rPr>
          <w:iCs/>
          <w:sz w:val="22"/>
          <w:szCs w:val="24"/>
        </w:rPr>
        <w:t xml:space="preserve"> </w:t>
      </w:r>
    </w:p>
    <w:p w14:paraId="4AF18EB7" w14:textId="6C3495EA" w:rsidR="00AB2B2D" w:rsidRPr="00AB2B2D" w:rsidRDefault="00AB2B2D" w:rsidP="00AB2B2D">
      <w:pPr>
        <w:pStyle w:val="TableBullet1"/>
        <w:keepLines/>
        <w:numPr>
          <w:ilvl w:val="0"/>
          <w:numId w:val="0"/>
        </w:numPr>
        <w:spacing w:line="216" w:lineRule="auto"/>
        <w:ind w:left="7"/>
        <w:rPr>
          <w:sz w:val="22"/>
          <w:szCs w:val="24"/>
        </w:rPr>
      </w:pPr>
      <w:r>
        <w:rPr>
          <w:iCs/>
          <w:sz w:val="22"/>
          <w:szCs w:val="24"/>
        </w:rPr>
        <w:t xml:space="preserve">Developed by the </w:t>
      </w:r>
      <w:r w:rsidRPr="00AB2B2D">
        <w:rPr>
          <w:sz w:val="22"/>
          <w:szCs w:val="24"/>
        </w:rPr>
        <w:t>International Association of Industrial Accident Boards and Commissions</w:t>
      </w:r>
      <w:r>
        <w:rPr>
          <w:sz w:val="22"/>
          <w:szCs w:val="24"/>
        </w:rPr>
        <w:t>’</w:t>
      </w:r>
      <w:r w:rsidRPr="00AB2B2D">
        <w:rPr>
          <w:sz w:val="22"/>
          <w:szCs w:val="24"/>
        </w:rPr>
        <w:t xml:space="preserve"> Disability Management and Return to Work Committee, </w:t>
      </w:r>
      <w:r>
        <w:rPr>
          <w:sz w:val="22"/>
          <w:szCs w:val="24"/>
        </w:rPr>
        <w:t>this resource (on page</w:t>
      </w:r>
      <w:r w:rsidR="006D2A23">
        <w:rPr>
          <w:sz w:val="22"/>
          <w:szCs w:val="24"/>
        </w:rPr>
        <w:t>s</w:t>
      </w:r>
      <w:r>
        <w:rPr>
          <w:sz w:val="22"/>
          <w:szCs w:val="24"/>
        </w:rPr>
        <w:t xml:space="preserve"> 23</w:t>
      </w:r>
      <w:r w:rsidR="006D2A23">
        <w:rPr>
          <w:sz w:val="22"/>
          <w:szCs w:val="24"/>
        </w:rPr>
        <w:t xml:space="preserve"> to 26</w:t>
      </w:r>
      <w:r>
        <w:rPr>
          <w:sz w:val="22"/>
          <w:szCs w:val="24"/>
        </w:rPr>
        <w:t xml:space="preserve">) discusses the </w:t>
      </w:r>
      <w:r w:rsidRPr="00AB2B2D">
        <w:rPr>
          <w:sz w:val="22"/>
          <w:szCs w:val="24"/>
        </w:rPr>
        <w:t>roles of caregivers and health systems in</w:t>
      </w:r>
      <w:r w:rsidR="00994FD2" w:rsidRPr="00994FD2">
        <w:rPr>
          <w:sz w:val="22"/>
          <w:szCs w:val="24"/>
        </w:rPr>
        <w:t xml:space="preserve"> </w:t>
      </w:r>
      <w:r w:rsidR="00994FD2">
        <w:rPr>
          <w:sz w:val="22"/>
          <w:szCs w:val="24"/>
        </w:rPr>
        <w:t>return</w:t>
      </w:r>
      <w:r w:rsidR="000D6E28">
        <w:rPr>
          <w:sz w:val="22"/>
          <w:szCs w:val="24"/>
        </w:rPr>
        <w:t xml:space="preserve"> </w:t>
      </w:r>
      <w:r w:rsidR="00994FD2">
        <w:rPr>
          <w:sz w:val="22"/>
          <w:szCs w:val="24"/>
        </w:rPr>
        <w:t>to</w:t>
      </w:r>
      <w:r w:rsidR="000D6E28">
        <w:rPr>
          <w:sz w:val="22"/>
          <w:szCs w:val="24"/>
        </w:rPr>
        <w:t xml:space="preserve"> </w:t>
      </w:r>
      <w:r w:rsidR="00994FD2">
        <w:rPr>
          <w:sz w:val="22"/>
          <w:szCs w:val="24"/>
        </w:rPr>
        <w:t>work</w:t>
      </w:r>
      <w:r>
        <w:rPr>
          <w:sz w:val="22"/>
          <w:szCs w:val="24"/>
        </w:rPr>
        <w:t xml:space="preserve">. </w:t>
      </w:r>
    </w:p>
    <w:p w14:paraId="7F9F1506" w14:textId="77777777" w:rsidR="00AB2B2D" w:rsidRDefault="00AB2B2D" w:rsidP="00FA58FF">
      <w:pPr>
        <w:pStyle w:val="NoSpacing"/>
      </w:pPr>
    </w:p>
    <w:p w14:paraId="747B8DBE" w14:textId="23106743" w:rsidR="00E641E5" w:rsidRDefault="00271F7C" w:rsidP="00B41CD4">
      <w:pPr>
        <w:pStyle w:val="TableBullet2"/>
        <w:keepLines/>
        <w:numPr>
          <w:ilvl w:val="0"/>
          <w:numId w:val="0"/>
        </w:numPr>
        <w:spacing w:line="216" w:lineRule="auto"/>
        <w:ind w:left="7"/>
      </w:pPr>
      <w:hyperlink r:id="rId38" w:history="1">
        <w:r w:rsidR="004E7654" w:rsidRPr="003F04B0">
          <w:rPr>
            <w:rStyle w:val="Hyperlink"/>
            <w:sz w:val="22"/>
            <w:szCs w:val="24"/>
          </w:rPr>
          <w:t>The Role of the Physician in the Return-to-Work Process Following Disability Onset</w:t>
        </w:r>
      </w:hyperlink>
      <w:r w:rsidR="004E7654" w:rsidRPr="003F04B0">
        <w:rPr>
          <w:sz w:val="22"/>
          <w:szCs w:val="24"/>
        </w:rPr>
        <w:br/>
        <w:t>Th</w:t>
      </w:r>
      <w:r w:rsidR="00F332AA" w:rsidRPr="003F04B0">
        <w:rPr>
          <w:sz w:val="22"/>
          <w:szCs w:val="24"/>
        </w:rPr>
        <w:t>is</w:t>
      </w:r>
      <w:r w:rsidR="004E7654" w:rsidRPr="003F04B0">
        <w:rPr>
          <w:sz w:val="22"/>
          <w:szCs w:val="24"/>
        </w:rPr>
        <w:t xml:space="preserve"> report </w:t>
      </w:r>
      <w:r w:rsidR="000B4BDA">
        <w:rPr>
          <w:sz w:val="22"/>
          <w:szCs w:val="24"/>
        </w:rPr>
        <w:t xml:space="preserve">(prepared by </w:t>
      </w:r>
      <w:r w:rsidR="000B4BDA" w:rsidRPr="000B4BDA">
        <w:rPr>
          <w:iCs/>
          <w:sz w:val="22"/>
          <w:szCs w:val="24"/>
        </w:rPr>
        <w:t>Mathematica for the U.S. Department of Labor’s Office of Disability Employment Policy</w:t>
      </w:r>
      <w:r w:rsidR="000B4BDA">
        <w:rPr>
          <w:i/>
          <w:sz w:val="22"/>
          <w:szCs w:val="24"/>
        </w:rPr>
        <w:t xml:space="preserve">) </w:t>
      </w:r>
      <w:r w:rsidR="004E7654" w:rsidRPr="003F04B0">
        <w:rPr>
          <w:sz w:val="22"/>
          <w:szCs w:val="24"/>
        </w:rPr>
        <w:t xml:space="preserve">outlines recommendations for more effectively incorporating physicians into the </w:t>
      </w:r>
      <w:r w:rsidR="00994FD2">
        <w:rPr>
          <w:sz w:val="22"/>
          <w:szCs w:val="24"/>
        </w:rPr>
        <w:t>return-to-work</w:t>
      </w:r>
      <w:r w:rsidR="004E7654" w:rsidRPr="003F04B0">
        <w:rPr>
          <w:sz w:val="22"/>
          <w:szCs w:val="24"/>
        </w:rPr>
        <w:t xml:space="preserve"> process. </w:t>
      </w:r>
      <w:r w:rsidR="00C53BC9" w:rsidRPr="003F04B0">
        <w:rPr>
          <w:sz w:val="22"/>
          <w:szCs w:val="24"/>
        </w:rPr>
        <w:br/>
      </w:r>
    </w:p>
    <w:p w14:paraId="4A522315" w14:textId="56757CB3" w:rsidR="00B14281" w:rsidRDefault="00271F7C" w:rsidP="00FA58FF">
      <w:pPr>
        <w:pStyle w:val="NoSpacing"/>
      </w:pPr>
      <w:hyperlink r:id="rId39" w:history="1">
        <w:r w:rsidR="00AA50C9" w:rsidRPr="00AA50C9">
          <w:rPr>
            <w:rStyle w:val="Hyperlink"/>
          </w:rPr>
          <w:t xml:space="preserve">Can </w:t>
        </w:r>
        <w:r w:rsidR="00F332AA">
          <w:rPr>
            <w:rStyle w:val="Hyperlink"/>
          </w:rPr>
          <w:t>W</w:t>
        </w:r>
        <w:r w:rsidR="00AA50C9" w:rsidRPr="00AA50C9">
          <w:rPr>
            <w:rStyle w:val="Hyperlink"/>
          </w:rPr>
          <w:t xml:space="preserve">ork </w:t>
        </w:r>
        <w:r w:rsidR="00F332AA">
          <w:rPr>
            <w:rStyle w:val="Hyperlink"/>
          </w:rPr>
          <w:t>D</w:t>
        </w:r>
        <w:r w:rsidR="00AA50C9" w:rsidRPr="00AA50C9">
          <w:rPr>
            <w:rStyle w:val="Hyperlink"/>
          </w:rPr>
          <w:t xml:space="preserve">isability </w:t>
        </w:r>
        <w:r w:rsidR="00F332AA">
          <w:rPr>
            <w:rStyle w:val="Hyperlink"/>
          </w:rPr>
          <w:t>B</w:t>
        </w:r>
        <w:r w:rsidR="00AA50C9" w:rsidRPr="00AA50C9">
          <w:rPr>
            <w:rStyle w:val="Hyperlink"/>
          </w:rPr>
          <w:t xml:space="preserve">e </w:t>
        </w:r>
        <w:r w:rsidR="00F332AA">
          <w:rPr>
            <w:rStyle w:val="Hyperlink"/>
          </w:rPr>
          <w:t>P</w:t>
        </w:r>
        <w:r w:rsidR="00AA50C9" w:rsidRPr="00AA50C9">
          <w:rPr>
            <w:rStyle w:val="Hyperlink"/>
          </w:rPr>
          <w:t xml:space="preserve">revented </w:t>
        </w:r>
        <w:r w:rsidR="00F332AA">
          <w:rPr>
            <w:rStyle w:val="Hyperlink"/>
          </w:rPr>
          <w:t>A</w:t>
        </w:r>
        <w:r w:rsidR="00AA50C9" w:rsidRPr="00AA50C9">
          <w:rPr>
            <w:rStyle w:val="Hyperlink"/>
          </w:rPr>
          <w:t xml:space="preserve">fter </w:t>
        </w:r>
        <w:r w:rsidR="00F332AA">
          <w:rPr>
            <w:rStyle w:val="Hyperlink"/>
          </w:rPr>
          <w:t>M</w:t>
        </w:r>
        <w:r w:rsidR="00AA50C9" w:rsidRPr="00AA50C9">
          <w:rPr>
            <w:rStyle w:val="Hyperlink"/>
          </w:rPr>
          <w:t xml:space="preserve">usculoskeletal (MSK) </w:t>
        </w:r>
        <w:r w:rsidR="00F332AA">
          <w:rPr>
            <w:rStyle w:val="Hyperlink"/>
          </w:rPr>
          <w:t>I</w:t>
        </w:r>
        <w:r w:rsidR="00AA50C9" w:rsidRPr="00AA50C9">
          <w:rPr>
            <w:rStyle w:val="Hyperlink"/>
          </w:rPr>
          <w:t>njuries? Three Successful, Cost-effective Pilot Intervention Programs</w:t>
        </w:r>
      </w:hyperlink>
      <w:r w:rsidR="00AA50C9">
        <w:br/>
      </w:r>
      <w:r w:rsidR="00994FD2">
        <w:t xml:space="preserve">This report, prepared by </w:t>
      </w:r>
      <w:r w:rsidR="00994FD2" w:rsidRPr="00994FD2">
        <w:rPr>
          <w:iCs/>
        </w:rPr>
        <w:t>IMPAQ International for the U.S. Department of Labor’s Office of Disability Employment Policy</w:t>
      </w:r>
      <w:r w:rsidR="00994FD2">
        <w:rPr>
          <w:iCs/>
        </w:rPr>
        <w:t xml:space="preserve">, presents </w:t>
      </w:r>
      <w:r w:rsidR="00AA50C9" w:rsidRPr="00AA50C9">
        <w:t>three pilot programs demonstrat</w:t>
      </w:r>
      <w:r w:rsidR="008D7648">
        <w:t xml:space="preserve">ing </w:t>
      </w:r>
      <w:r w:rsidR="00AA50C9" w:rsidRPr="00AA50C9">
        <w:t>the considerable knowledge that exists regarding effective strategies to prevent work disability after MSK injury.</w:t>
      </w:r>
      <w:r w:rsidR="00B14281" w:rsidRPr="00B14281">
        <w:t xml:space="preserve"> </w:t>
      </w:r>
      <w:r w:rsidR="00C53BC9">
        <w:br/>
      </w:r>
      <w:r w:rsidR="00C53BC9">
        <w:br/>
      </w:r>
      <w:hyperlink r:id="rId40" w:history="1">
        <w:r w:rsidR="00B14281" w:rsidRPr="00B14281">
          <w:rPr>
            <w:rStyle w:val="Hyperlink"/>
          </w:rPr>
          <w:t>Improving Occupational Health</w:t>
        </w:r>
        <w:r w:rsidR="0048244E">
          <w:rPr>
            <w:rStyle w:val="Hyperlink"/>
          </w:rPr>
          <w:t xml:space="preserve"> C</w:t>
        </w:r>
        <w:r w:rsidR="00B14281" w:rsidRPr="00B14281">
          <w:rPr>
            <w:rStyle w:val="Hyperlink"/>
          </w:rPr>
          <w:t>are Delivery to Support Workers’ Compensation Return to Wor</w:t>
        </w:r>
        <w:r w:rsidR="00B14281">
          <w:rPr>
            <w:rStyle w:val="Hyperlink"/>
          </w:rPr>
          <w:t xml:space="preserve">k: </w:t>
        </w:r>
        <w:r w:rsidR="00B14281" w:rsidRPr="00B14281">
          <w:rPr>
            <w:rStyle w:val="Hyperlink"/>
          </w:rPr>
          <w:t xml:space="preserve">Building on Evidence-Based Practice from Washington State’s Centers of Occupational Health &amp; Education (COHE) Experience </w:t>
        </w:r>
        <w:r w:rsidR="00B14281">
          <w:rPr>
            <w:rStyle w:val="Hyperlink"/>
          </w:rPr>
          <w:t>– Full Report</w:t>
        </w:r>
      </w:hyperlink>
      <w:r w:rsidR="00B14281">
        <w:br/>
      </w:r>
      <w:r w:rsidR="008D7648">
        <w:t xml:space="preserve">This report, prepared by </w:t>
      </w:r>
      <w:r w:rsidR="008D7648" w:rsidRPr="008D7648">
        <w:rPr>
          <w:iCs/>
        </w:rPr>
        <w:t>IMPAQ International for the U.S. Department of Labor’s Office of Disability Employment Policy</w:t>
      </w:r>
      <w:r w:rsidR="008D7648">
        <w:rPr>
          <w:iCs/>
        </w:rPr>
        <w:t>, e</w:t>
      </w:r>
      <w:r w:rsidR="003B6594">
        <w:t xml:space="preserve">xamines </w:t>
      </w:r>
      <w:r w:rsidR="00B14281" w:rsidRPr="00B14281">
        <w:t>Washington State’s COHE program</w:t>
      </w:r>
      <w:r w:rsidR="003B6594">
        <w:t>, which</w:t>
      </w:r>
      <w:r w:rsidR="00B14281" w:rsidRPr="00B14281">
        <w:t xml:space="preserve"> has been successful in improving worker outcomes, reducing the risk of long-term disability and premature exit from the workforce, and promoting workers’ </w:t>
      </w:r>
      <w:r w:rsidR="00CA357E">
        <w:t>return to work</w:t>
      </w:r>
      <w:r w:rsidR="003B6594">
        <w:t xml:space="preserve"> through coordinated care and the training of health</w:t>
      </w:r>
      <w:r w:rsidR="0048244E">
        <w:t xml:space="preserve"> </w:t>
      </w:r>
      <w:r w:rsidR="003B6594">
        <w:t>care providers</w:t>
      </w:r>
      <w:r w:rsidR="00B14281" w:rsidRPr="00B14281">
        <w:t>.</w:t>
      </w:r>
    </w:p>
    <w:p w14:paraId="7E08D06B" w14:textId="33309541" w:rsidR="008072DC" w:rsidRDefault="008072DC" w:rsidP="00FA58FF">
      <w:pPr>
        <w:pStyle w:val="NoSpacing"/>
      </w:pPr>
    </w:p>
    <w:p w14:paraId="1F7ACEF6" w14:textId="3A8C46A2" w:rsidR="0093234C" w:rsidRDefault="00271F7C" w:rsidP="001D796D">
      <w:pPr>
        <w:pStyle w:val="TableBullet1"/>
        <w:keepLines/>
        <w:numPr>
          <w:ilvl w:val="0"/>
          <w:numId w:val="0"/>
        </w:numPr>
        <w:spacing w:line="216" w:lineRule="auto"/>
        <w:ind w:left="7"/>
        <w:rPr>
          <w:rFonts w:cstheme="minorHAnsi"/>
          <w:sz w:val="22"/>
        </w:rPr>
      </w:pPr>
      <w:hyperlink r:id="rId41" w:history="1">
        <w:r w:rsidR="001D796D" w:rsidRPr="0093234C">
          <w:rPr>
            <w:rStyle w:val="Hyperlink"/>
            <w:rFonts w:cstheme="minorHAnsi"/>
            <w:sz w:val="22"/>
          </w:rPr>
          <w:t>Innovations in Occupational Health Care Delivery Can Prevent Entry Into Permanent Disability</w:t>
        </w:r>
      </w:hyperlink>
    </w:p>
    <w:p w14:paraId="1F1E69B4" w14:textId="4202922B" w:rsidR="0093234C" w:rsidRPr="008211B5" w:rsidRDefault="0093234C" w:rsidP="001D796D">
      <w:pPr>
        <w:pStyle w:val="TableBullet1"/>
        <w:keepLines/>
        <w:numPr>
          <w:ilvl w:val="0"/>
          <w:numId w:val="0"/>
        </w:numPr>
        <w:spacing w:line="216" w:lineRule="auto"/>
        <w:ind w:left="7"/>
        <w:rPr>
          <w:rFonts w:cstheme="minorHAnsi"/>
          <w:sz w:val="22"/>
        </w:rPr>
      </w:pPr>
      <w:r w:rsidRPr="008211B5">
        <w:rPr>
          <w:rFonts w:cstheme="minorHAnsi"/>
          <w:sz w:val="22"/>
        </w:rPr>
        <w:t xml:space="preserve">This study is an </w:t>
      </w:r>
      <w:r w:rsidR="001D796D" w:rsidRPr="008211B5">
        <w:rPr>
          <w:rFonts w:cstheme="minorHAnsi"/>
          <w:sz w:val="22"/>
        </w:rPr>
        <w:t>8-</w:t>
      </w:r>
      <w:r w:rsidRPr="008211B5">
        <w:rPr>
          <w:rFonts w:cstheme="minorHAnsi"/>
          <w:sz w:val="22"/>
        </w:rPr>
        <w:t>y</w:t>
      </w:r>
      <w:r w:rsidR="001D796D" w:rsidRPr="008211B5">
        <w:rPr>
          <w:rFonts w:cstheme="minorHAnsi"/>
          <w:sz w:val="22"/>
        </w:rPr>
        <w:t xml:space="preserve">ear </w:t>
      </w:r>
      <w:r w:rsidRPr="008211B5">
        <w:rPr>
          <w:rFonts w:cstheme="minorHAnsi"/>
          <w:sz w:val="22"/>
        </w:rPr>
        <w:t>f</w:t>
      </w:r>
      <w:r w:rsidR="001D796D" w:rsidRPr="008211B5">
        <w:rPr>
          <w:rFonts w:cstheme="minorHAnsi"/>
          <w:sz w:val="22"/>
        </w:rPr>
        <w:t>ollow-</w:t>
      </w:r>
      <w:r w:rsidRPr="008211B5">
        <w:rPr>
          <w:rFonts w:cstheme="minorHAnsi"/>
          <w:sz w:val="22"/>
        </w:rPr>
        <w:t>u</w:t>
      </w:r>
      <w:r w:rsidR="001D796D" w:rsidRPr="008211B5">
        <w:rPr>
          <w:rFonts w:cstheme="minorHAnsi"/>
          <w:sz w:val="22"/>
        </w:rPr>
        <w:t>p of the Washington State Centers for Occupational Health and Education</w:t>
      </w:r>
      <w:r w:rsidR="002F7860">
        <w:rPr>
          <w:rFonts w:cstheme="minorHAnsi"/>
          <w:sz w:val="22"/>
        </w:rPr>
        <w:t>.</w:t>
      </w:r>
    </w:p>
    <w:p w14:paraId="0E391BB6" w14:textId="77777777" w:rsidR="001D796D" w:rsidRPr="008211B5" w:rsidRDefault="001D796D" w:rsidP="001D796D">
      <w:pPr>
        <w:pStyle w:val="TableBullet1"/>
        <w:keepLines/>
        <w:numPr>
          <w:ilvl w:val="0"/>
          <w:numId w:val="0"/>
        </w:numPr>
        <w:spacing w:line="216" w:lineRule="auto"/>
        <w:ind w:left="7"/>
        <w:rPr>
          <w:rFonts w:cstheme="minorHAnsi"/>
          <w:sz w:val="22"/>
        </w:rPr>
      </w:pPr>
    </w:p>
    <w:p w14:paraId="6224ACB7" w14:textId="77A24E24" w:rsidR="001D796D" w:rsidRPr="008211B5" w:rsidRDefault="00271F7C" w:rsidP="001D796D">
      <w:pPr>
        <w:pStyle w:val="TableBullet1"/>
        <w:keepLines/>
        <w:numPr>
          <w:ilvl w:val="0"/>
          <w:numId w:val="0"/>
        </w:numPr>
        <w:spacing w:line="216" w:lineRule="auto"/>
        <w:ind w:left="7"/>
        <w:rPr>
          <w:sz w:val="22"/>
        </w:rPr>
      </w:pPr>
      <w:hyperlink r:id="rId42" w:history="1">
        <w:r w:rsidR="008211B5" w:rsidRPr="008211B5">
          <w:rPr>
            <w:rStyle w:val="Hyperlink"/>
            <w:sz w:val="22"/>
          </w:rPr>
          <w:t xml:space="preserve">Transition Back to Work: Policies to Support Return to Work </w:t>
        </w:r>
        <w:r w:rsidR="00AA23D1">
          <w:rPr>
            <w:rStyle w:val="Hyperlink"/>
            <w:sz w:val="22"/>
          </w:rPr>
          <w:t xml:space="preserve">(RTW) </w:t>
        </w:r>
        <w:r w:rsidR="008211B5" w:rsidRPr="008211B5">
          <w:rPr>
            <w:rStyle w:val="Hyperlink"/>
            <w:sz w:val="22"/>
          </w:rPr>
          <w:t>after Illness or Injury</w:t>
        </w:r>
      </w:hyperlink>
      <w:r w:rsidR="008211B5" w:rsidRPr="008211B5">
        <w:rPr>
          <w:sz w:val="22"/>
        </w:rPr>
        <w:br/>
      </w:r>
      <w:r w:rsidR="002F7860">
        <w:rPr>
          <w:sz w:val="22"/>
        </w:rPr>
        <w:t>This</w:t>
      </w:r>
      <w:r w:rsidR="008211B5" w:rsidRPr="008211B5">
        <w:rPr>
          <w:sz w:val="22"/>
        </w:rPr>
        <w:t xml:space="preserve"> paper</w:t>
      </w:r>
      <w:r w:rsidR="002F7860">
        <w:rPr>
          <w:sz w:val="22"/>
        </w:rPr>
        <w:t xml:space="preserve">, </w:t>
      </w:r>
      <w:r w:rsidR="002F7860" w:rsidRPr="002F7860">
        <w:rPr>
          <w:sz w:val="22"/>
        </w:rPr>
        <w:t>prepared by IMPAQ International for the U.S. Department of Labor’s Office of Disability Employment Policy,</w:t>
      </w:r>
      <w:r w:rsidR="008211B5" w:rsidRPr="008211B5">
        <w:rPr>
          <w:sz w:val="22"/>
        </w:rPr>
        <w:t xml:space="preserve"> examin</w:t>
      </w:r>
      <w:r w:rsidR="002F7860">
        <w:rPr>
          <w:sz w:val="22"/>
        </w:rPr>
        <w:t>es</w:t>
      </w:r>
      <w:r w:rsidR="008211B5" w:rsidRPr="008211B5">
        <w:rPr>
          <w:sz w:val="22"/>
        </w:rPr>
        <w:t xml:space="preserve"> strategies to assist workers who have lost work time due to illness or injury in making the transition back to work as early as possible in their recovery process. Explores partial RTW strategies for those not yet able to return to full-duty at their previous jobs, as well as incentives for employers to ease the transition back to work through strategies such as light duty, reduced hours, workplace modifications, or transitional jobs.</w:t>
      </w:r>
    </w:p>
    <w:p w14:paraId="6A38C633" w14:textId="77777777" w:rsidR="001D796D" w:rsidRPr="001D796D" w:rsidRDefault="001D796D" w:rsidP="001D796D">
      <w:pPr>
        <w:pStyle w:val="TableBullet1"/>
        <w:keepLines/>
        <w:numPr>
          <w:ilvl w:val="0"/>
          <w:numId w:val="0"/>
        </w:numPr>
        <w:spacing w:line="216" w:lineRule="auto"/>
        <w:ind w:left="7"/>
        <w:rPr>
          <w:rFonts w:cstheme="minorHAnsi"/>
          <w:sz w:val="22"/>
        </w:rPr>
      </w:pPr>
    </w:p>
    <w:p w14:paraId="3CC1557E" w14:textId="77777777" w:rsidR="001D796D" w:rsidRPr="007E736D" w:rsidRDefault="001D796D" w:rsidP="007E736D">
      <w:pPr>
        <w:pStyle w:val="TableBullet2"/>
        <w:keepLines/>
        <w:numPr>
          <w:ilvl w:val="0"/>
          <w:numId w:val="0"/>
        </w:numPr>
        <w:spacing w:line="216" w:lineRule="auto"/>
        <w:ind w:left="7"/>
        <w:rPr>
          <w:sz w:val="22"/>
        </w:rPr>
      </w:pPr>
    </w:p>
    <w:p w14:paraId="6D7E2465" w14:textId="77777777" w:rsidR="00B12623" w:rsidRDefault="00B12623">
      <w:pPr>
        <w:rPr>
          <w:b/>
          <w:sz w:val="28"/>
          <w:u w:val="single"/>
        </w:rPr>
      </w:pPr>
      <w:bookmarkStart w:id="3" w:name="_Toc15395852"/>
      <w:r>
        <w:br w:type="page"/>
      </w:r>
    </w:p>
    <w:p w14:paraId="5BA606FF" w14:textId="171DCE40" w:rsidR="002C0ADF" w:rsidRPr="00847E42" w:rsidRDefault="00F50358" w:rsidP="00E85E39">
      <w:pPr>
        <w:pStyle w:val="Heading1"/>
      </w:pPr>
      <w:r>
        <w:lastRenderedPageBreak/>
        <w:t xml:space="preserve">Additional </w:t>
      </w:r>
      <w:r w:rsidR="002C0ADF" w:rsidRPr="00847E42">
        <w:t>SAW/RTW Resources</w:t>
      </w:r>
      <w:bookmarkEnd w:id="3"/>
    </w:p>
    <w:p w14:paraId="0B673902" w14:textId="77777777" w:rsidR="002C0ADF" w:rsidRDefault="002C0ADF" w:rsidP="002C0ADF">
      <w:pPr>
        <w:pStyle w:val="NoSpacing"/>
      </w:pPr>
    </w:p>
    <w:p w14:paraId="25A1D756" w14:textId="228F05D2" w:rsidR="000D1854" w:rsidRDefault="00271F7C" w:rsidP="000D1854">
      <w:pPr>
        <w:pStyle w:val="NoSpacing"/>
      </w:pPr>
      <w:hyperlink r:id="rId43" w:history="1">
        <w:r w:rsidR="002C0ADF" w:rsidRPr="004E7654">
          <w:rPr>
            <w:rStyle w:val="Hyperlink"/>
          </w:rPr>
          <w:t>Return to Work in the Health Care Sector: Promising Practices and Success Stories</w:t>
        </w:r>
      </w:hyperlink>
      <w:r w:rsidR="002C0ADF">
        <w:br/>
      </w:r>
      <w:r w:rsidR="0073029E">
        <w:t xml:space="preserve">This report, prepared by </w:t>
      </w:r>
      <w:r w:rsidR="0073029E" w:rsidRPr="0073029E">
        <w:rPr>
          <w:iCs/>
        </w:rPr>
        <w:t>Mathematica for the U.S. Department of Labor’s Office of Disability Employment Policy</w:t>
      </w:r>
      <w:r w:rsidR="0073029E">
        <w:rPr>
          <w:iCs/>
        </w:rPr>
        <w:t>, f</w:t>
      </w:r>
      <w:r w:rsidR="002C0ADF">
        <w:t xml:space="preserve">eatures </w:t>
      </w:r>
      <w:r w:rsidR="002C0ADF" w:rsidRPr="004E7654">
        <w:t xml:space="preserve">promising practices and success stories related to </w:t>
      </w:r>
      <w:r w:rsidR="0073029E">
        <w:t>return-to-work</w:t>
      </w:r>
      <w:r w:rsidR="002C0ADF" w:rsidRPr="004E7654">
        <w:t xml:space="preserve"> efforts and outcomes in the health</w:t>
      </w:r>
      <w:r w:rsidR="0073029E">
        <w:t xml:space="preserve"> </w:t>
      </w:r>
      <w:r w:rsidR="002C0ADF" w:rsidRPr="004E7654">
        <w:t>care industry.</w:t>
      </w:r>
      <w:r w:rsidR="002C0ADF">
        <w:t xml:space="preserve"> (</w:t>
      </w:r>
      <w:r w:rsidR="002C0ADF" w:rsidRPr="004E7654">
        <w:t xml:space="preserve">Although the promising practices </w:t>
      </w:r>
      <w:r w:rsidR="002C0ADF">
        <w:t xml:space="preserve">are focused on </w:t>
      </w:r>
      <w:r w:rsidR="002C0ADF" w:rsidRPr="004E7654">
        <w:t>the health</w:t>
      </w:r>
      <w:r w:rsidR="0073029E">
        <w:t xml:space="preserve"> </w:t>
      </w:r>
      <w:r w:rsidR="002C0ADF" w:rsidRPr="004E7654">
        <w:t>care sector, the main principles of these programs can be applied on a wider scale</w:t>
      </w:r>
      <w:r w:rsidR="002C0ADF">
        <w:t>.)</w:t>
      </w:r>
      <w:r w:rsidR="002C0ADF">
        <w:br/>
      </w:r>
      <w:r w:rsidR="002C0ADF">
        <w:br/>
      </w:r>
      <w:hyperlink r:id="rId44" w:history="1">
        <w:r w:rsidR="000D1854" w:rsidRPr="000D1854">
          <w:rPr>
            <w:rStyle w:val="Hyperlink"/>
          </w:rPr>
          <w:t>NCSL Policy Brief: Workers' Compensation: Keeping Injured and Ill Workers in the Workforce</w:t>
        </w:r>
      </w:hyperlink>
      <w:r w:rsidR="000D1854">
        <w:t xml:space="preserve"> </w:t>
      </w:r>
    </w:p>
    <w:p w14:paraId="1CEEBB9D" w14:textId="0EF8725B" w:rsidR="000D1854" w:rsidRDefault="000D1854" w:rsidP="000D1854">
      <w:pPr>
        <w:pStyle w:val="NoSpacing"/>
      </w:pPr>
      <w:r>
        <w:t>Developed by the National Conference of State Legislatures (NCSL) in collaboration with the State Exchange on Employment and Disability (SEED), this policy brief explores how states administer workers’ compensation programs that provide medical care, rehabilitation, and cash benefits for workers who are injured on the job or who experience occupation-related illnesses.</w:t>
      </w:r>
    </w:p>
    <w:p w14:paraId="5759563F" w14:textId="77777777" w:rsidR="000D1854" w:rsidRDefault="000D1854" w:rsidP="002C0ADF">
      <w:pPr>
        <w:pStyle w:val="NoSpacing"/>
      </w:pPr>
    </w:p>
    <w:p w14:paraId="1202C970" w14:textId="0DA03D38" w:rsidR="002C0ADF" w:rsidRDefault="00271F7C" w:rsidP="002C0ADF">
      <w:pPr>
        <w:pStyle w:val="NoSpacing"/>
      </w:pPr>
      <w:hyperlink r:id="rId45" w:history="1">
        <w:r w:rsidR="002C0ADF" w:rsidRPr="00DB6566">
          <w:rPr>
            <w:rStyle w:val="Hyperlink"/>
          </w:rPr>
          <w:t>Assessing the Costs &amp; Benefits of Return to Work Program</w:t>
        </w:r>
        <w:r w:rsidR="002C0ADF">
          <w:rPr>
            <w:rStyle w:val="Hyperlink"/>
          </w:rPr>
          <w:t>s Full Report</w:t>
        </w:r>
      </w:hyperlink>
      <w:r w:rsidR="002C0ADF">
        <w:t xml:space="preserve"> </w:t>
      </w:r>
      <w:r w:rsidR="002C0ADF">
        <w:br/>
      </w:r>
      <w:hyperlink r:id="rId46" w:history="1">
        <w:r w:rsidR="002C0ADF" w:rsidRPr="00DB6566">
          <w:rPr>
            <w:rStyle w:val="Hyperlink"/>
          </w:rPr>
          <w:t>Assessing the Costs &amp; Benefits of Return to Work Programs Issue Brief</w:t>
        </w:r>
      </w:hyperlink>
      <w:r w:rsidR="002C0ADF">
        <w:br/>
      </w:r>
      <w:r w:rsidR="0073029E">
        <w:t xml:space="preserve">This report, prepared by </w:t>
      </w:r>
      <w:r w:rsidR="0073029E" w:rsidRPr="0073029E">
        <w:rPr>
          <w:iCs/>
        </w:rPr>
        <w:t>Mathematica for the U.S. Department of Labor’s Office of Disability Employment Policy, offer</w:t>
      </w:r>
      <w:r w:rsidR="00705B2A">
        <w:rPr>
          <w:iCs/>
        </w:rPr>
        <w:t>s</w:t>
      </w:r>
      <w:r w:rsidR="0073029E" w:rsidRPr="0073029E">
        <w:rPr>
          <w:iCs/>
        </w:rPr>
        <w:t xml:space="preserve"> a </w:t>
      </w:r>
      <w:r w:rsidR="002C0ADF" w:rsidRPr="00DB6566">
        <w:t>review and analysis of existing research, data, and other relevant material to provide a comparison of the cost and benefits of implementing a</w:t>
      </w:r>
      <w:r w:rsidR="00705B2A">
        <w:t xml:space="preserve"> return-to-work</w:t>
      </w:r>
      <w:r w:rsidR="002C0ADF" w:rsidRPr="00DB6566">
        <w:t xml:space="preserve"> program in the private sector. </w:t>
      </w:r>
    </w:p>
    <w:p w14:paraId="0FF67AA6" w14:textId="4881E922" w:rsidR="002C0ADF" w:rsidRDefault="002C0ADF" w:rsidP="002C0ADF">
      <w:pPr>
        <w:pStyle w:val="NoSpacing"/>
      </w:pPr>
      <w:r>
        <w:br/>
      </w:r>
      <w:hyperlink r:id="rId47" w:history="1">
        <w:r w:rsidRPr="007C7B9A">
          <w:rPr>
            <w:rStyle w:val="Hyperlink"/>
          </w:rPr>
          <w:t>Establishing Accountability to Reduce Job Loss After Injury or Illness</w:t>
        </w:r>
      </w:hyperlink>
      <w:r>
        <w:br/>
      </w:r>
      <w:r w:rsidR="00014069">
        <w:t xml:space="preserve">This paper, prepared by </w:t>
      </w:r>
      <w:r w:rsidR="00014069" w:rsidRPr="00014069">
        <w:rPr>
          <w:iCs/>
        </w:rPr>
        <w:t>Mathematica for the U.S. Department of Labor’s Office of Disability Employment Policy</w:t>
      </w:r>
      <w:r w:rsidR="00014069">
        <w:rPr>
          <w:iCs/>
        </w:rPr>
        <w:t>, p</w:t>
      </w:r>
      <w:r w:rsidRPr="007C7B9A">
        <w:t>resent</w:t>
      </w:r>
      <w:r>
        <w:t>s</w:t>
      </w:r>
      <w:r w:rsidRPr="007C7B9A">
        <w:t xml:space="preserve"> actionable policy recommendations for keeping more people at work</w:t>
      </w:r>
      <w:r>
        <w:t xml:space="preserve"> through </w:t>
      </w:r>
      <w:r w:rsidR="00014069">
        <w:t>stay-at-work/return-to-work (</w:t>
      </w:r>
      <w:r>
        <w:t>SAW/RTW</w:t>
      </w:r>
      <w:r w:rsidR="00014069">
        <w:t>)</w:t>
      </w:r>
      <w:r>
        <w:t xml:space="preserve"> strategies.</w:t>
      </w:r>
      <w:r>
        <w:br/>
      </w:r>
      <w:r>
        <w:br/>
      </w:r>
      <w:hyperlink r:id="rId48" w:history="1">
        <w:r w:rsidRPr="007C7B9A">
          <w:rPr>
            <w:rStyle w:val="Hyperlink"/>
          </w:rPr>
          <w:t xml:space="preserve">Promoting Retention or Reemployment of Workers </w:t>
        </w:r>
        <w:r w:rsidR="00CE488D">
          <w:rPr>
            <w:rStyle w:val="Hyperlink"/>
          </w:rPr>
          <w:t>A</w:t>
        </w:r>
        <w:r w:rsidRPr="007C7B9A">
          <w:rPr>
            <w:rStyle w:val="Hyperlink"/>
          </w:rPr>
          <w:t>fter a Significant Injury or Illne</w:t>
        </w:r>
        <w:r>
          <w:rPr>
            <w:rStyle w:val="Hyperlink"/>
          </w:rPr>
          <w:t>s</w:t>
        </w:r>
        <w:r w:rsidRPr="007C7B9A">
          <w:rPr>
            <w:rStyle w:val="Hyperlink"/>
          </w:rPr>
          <w:t>s</w:t>
        </w:r>
      </w:hyperlink>
      <w:r>
        <w:br/>
      </w:r>
      <w:r w:rsidR="00CE488D">
        <w:t xml:space="preserve">This paper, prepared by </w:t>
      </w:r>
      <w:r w:rsidR="00CE488D" w:rsidRPr="00CE488D">
        <w:rPr>
          <w:iCs/>
        </w:rPr>
        <w:t>Mathematica for the U.S. Department of Labor’s Office of Disability Employment Policy</w:t>
      </w:r>
      <w:r w:rsidR="00CE488D">
        <w:rPr>
          <w:iCs/>
        </w:rPr>
        <w:t>, s</w:t>
      </w:r>
      <w:r w:rsidRPr="007C7B9A">
        <w:t>uggest</w:t>
      </w:r>
      <w:r>
        <w:t>s</w:t>
      </w:r>
      <w:r w:rsidRPr="007C7B9A">
        <w:t xml:space="preserve"> policies and practices that would encourage employers to retain or hire workers</w:t>
      </w:r>
      <w:r>
        <w:t xml:space="preserve"> following a medical condition</w:t>
      </w:r>
      <w:r w:rsidRPr="007C7B9A">
        <w:t xml:space="preserve">.   </w:t>
      </w:r>
      <w:r>
        <w:br/>
      </w:r>
      <w:r>
        <w:br/>
      </w:r>
      <w:hyperlink r:id="rId49" w:history="1">
        <w:r w:rsidRPr="007C7B9A">
          <w:rPr>
            <w:rStyle w:val="Hyperlink"/>
          </w:rPr>
          <w:t>Targeting Early Intervention to Workers Who Need Help to Stay in the Labor Force</w:t>
        </w:r>
      </w:hyperlink>
      <w:r w:rsidRPr="007C7B9A">
        <w:t xml:space="preserve"> </w:t>
      </w:r>
      <w:r>
        <w:br/>
      </w:r>
      <w:r w:rsidR="005E1E92">
        <w:t xml:space="preserve">This paper, prepared by </w:t>
      </w:r>
      <w:r w:rsidR="005E1E92" w:rsidRPr="005E1E92">
        <w:rPr>
          <w:iCs/>
        </w:rPr>
        <w:t>Mathematica for the U.S. Department of Labor’s Office of Disability Employment Policy</w:t>
      </w:r>
      <w:r w:rsidR="005E1E92">
        <w:rPr>
          <w:iCs/>
        </w:rPr>
        <w:t>, p</w:t>
      </w:r>
      <w:r w:rsidRPr="007C7B9A">
        <w:t>resent</w:t>
      </w:r>
      <w:r>
        <w:t>s</w:t>
      </w:r>
      <w:r w:rsidRPr="007C7B9A">
        <w:t xml:space="preserve"> actionable policy recommendations for expanding evidence-based early intervention services to those workers who may be the most likely to return successfully to work if they get help early o</w:t>
      </w:r>
      <w:r>
        <w:t>n.</w:t>
      </w:r>
      <w:r w:rsidRPr="007C7B9A">
        <w:t xml:space="preserve"> </w:t>
      </w:r>
      <w:r>
        <w:br/>
      </w:r>
      <w:r>
        <w:br/>
      </w:r>
      <w:hyperlink r:id="rId50" w:history="1">
        <w:r w:rsidRPr="007C7B9A">
          <w:rPr>
            <w:rStyle w:val="Hyperlink"/>
          </w:rPr>
          <w:t>Behavioral Interventions to Help Workers Keep Their Jobs After an Injury or Illness Policy Brief</w:t>
        </w:r>
      </w:hyperlink>
      <w:r w:rsidRPr="007C7B9A">
        <w:t xml:space="preserve">  </w:t>
      </w:r>
      <w:r>
        <w:br/>
      </w:r>
      <w:r w:rsidR="005E1E92">
        <w:t xml:space="preserve">This paper, prepared by </w:t>
      </w:r>
      <w:r w:rsidR="005E1E92" w:rsidRPr="005E1E92">
        <w:rPr>
          <w:iCs/>
        </w:rPr>
        <w:t>Mathematica for the U.S. Department of Labor’s Office of Disability Employment Policy</w:t>
      </w:r>
      <w:r w:rsidR="005E1E92">
        <w:rPr>
          <w:iCs/>
        </w:rPr>
        <w:t>, i</w:t>
      </w:r>
      <w:r>
        <w:t xml:space="preserve">ncludes a </w:t>
      </w:r>
      <w:r w:rsidRPr="008769A2">
        <w:t xml:space="preserve">range of strategies that could potentially </w:t>
      </w:r>
      <w:r>
        <w:t xml:space="preserve">encourage injured or ill workers to fully explore the possibility of staying employed, which is often the better option for their long-term financial and psychological well-being.  </w:t>
      </w:r>
    </w:p>
    <w:p w14:paraId="7DCBE52D" w14:textId="0042DECE" w:rsidR="002C0ADF" w:rsidRDefault="002C0ADF" w:rsidP="002C0ADF">
      <w:pPr>
        <w:pStyle w:val="NoSpacing"/>
      </w:pPr>
      <w:r>
        <w:br/>
      </w:r>
      <w:hyperlink r:id="rId51" w:history="1">
        <w:r w:rsidRPr="00AA50C9">
          <w:rPr>
            <w:rStyle w:val="Hyperlink"/>
          </w:rPr>
          <w:t>Improving Pain Management and Support for Workers with Musculoske</w:t>
        </w:r>
        <w:r>
          <w:rPr>
            <w:rStyle w:val="Hyperlink"/>
          </w:rPr>
          <w:t>let</w:t>
        </w:r>
        <w:r w:rsidRPr="00AA50C9">
          <w:rPr>
            <w:rStyle w:val="Hyperlink"/>
          </w:rPr>
          <w:t>al Disorders: Policies to Prevent Work Disability and Job Los</w:t>
        </w:r>
        <w:r>
          <w:rPr>
            <w:rStyle w:val="Hyperlink"/>
          </w:rPr>
          <w:t>s Policy Action Paper</w:t>
        </w:r>
      </w:hyperlink>
      <w:r w:rsidRPr="007C7B9A">
        <w:t xml:space="preserve"> </w:t>
      </w:r>
      <w:r>
        <w:br/>
      </w:r>
      <w:r w:rsidR="008823D8">
        <w:t xml:space="preserve">This paper, prepared by </w:t>
      </w:r>
      <w:r w:rsidR="008823D8" w:rsidRPr="008823D8">
        <w:rPr>
          <w:iCs/>
        </w:rPr>
        <w:t>IMPAQ International for the U.S. Department of Labor’s Office of Disability Employment Policy</w:t>
      </w:r>
      <w:r w:rsidR="008823D8">
        <w:rPr>
          <w:iCs/>
        </w:rPr>
        <w:t>, i</w:t>
      </w:r>
      <w:r>
        <w:t>dentifies</w:t>
      </w:r>
      <w:r w:rsidRPr="009F5B63">
        <w:t xml:space="preserve"> six primary focus areas that should be the target of improved pain and </w:t>
      </w:r>
      <w:r w:rsidRPr="009F5B63">
        <w:lastRenderedPageBreak/>
        <w:t>disability management policies: (1) drug formularies and treatment guidelines; (2) education and training; (3) reimbursement for health</w:t>
      </w:r>
      <w:r w:rsidR="0048244E">
        <w:t xml:space="preserve"> </w:t>
      </w:r>
      <w:r w:rsidRPr="009F5B63">
        <w:t xml:space="preserve">care services; (4) employer injury and disability prevention practices; (5) data collection and monitoring; and (6) federal inter-agency leadership. </w:t>
      </w:r>
      <w:r>
        <w:t xml:space="preserve"> </w:t>
      </w:r>
    </w:p>
    <w:p w14:paraId="1223FC5E" w14:textId="6AD227C9" w:rsidR="002C0ADF" w:rsidRDefault="002C0ADF" w:rsidP="002C0ADF">
      <w:pPr>
        <w:pStyle w:val="NoSpacing"/>
      </w:pPr>
      <w:r>
        <w:br/>
      </w:r>
      <w:hyperlink r:id="rId52" w:history="1">
        <w:r w:rsidRPr="00AA50C9">
          <w:rPr>
            <w:rStyle w:val="Hyperlink"/>
          </w:rPr>
          <w:t>How to Mitigate Risk Factors for Long-Term Musculoskeletal Work Disability</w:t>
        </w:r>
      </w:hyperlink>
      <w:r>
        <w:br/>
      </w:r>
      <w:r w:rsidR="008823D8">
        <w:t xml:space="preserve">This paper, prepared by </w:t>
      </w:r>
      <w:r w:rsidR="008823D8" w:rsidRPr="008823D8">
        <w:rPr>
          <w:iCs/>
        </w:rPr>
        <w:t>IMPAQ International for the U.S. Department of Labor’s Office of Disability Employment Policy</w:t>
      </w:r>
      <w:r w:rsidR="008823D8">
        <w:rPr>
          <w:iCs/>
        </w:rPr>
        <w:t>, o</w:t>
      </w:r>
      <w:r>
        <w:t>utlines early intervention strategies that f</w:t>
      </w:r>
      <w:r w:rsidRPr="00AA50C9">
        <w:t>rontline professionals (health</w:t>
      </w:r>
      <w:r w:rsidR="008823D8">
        <w:t xml:space="preserve"> </w:t>
      </w:r>
      <w:r w:rsidRPr="00AA50C9">
        <w:t>care professionals, employers, and claims/benefits administrators) can use when they interact with workers experiencing</w:t>
      </w:r>
      <w:r>
        <w:t xml:space="preserve"> musculoskeletal</w:t>
      </w:r>
      <w:r w:rsidRPr="00AA50C9">
        <w:t xml:space="preserve"> pain. </w:t>
      </w:r>
      <w:r>
        <w:t xml:space="preserve"> </w:t>
      </w:r>
    </w:p>
    <w:p w14:paraId="09954FEF" w14:textId="77777777" w:rsidR="002C0ADF" w:rsidRDefault="002C0ADF" w:rsidP="002C0ADF">
      <w:pPr>
        <w:pStyle w:val="NoSpacing"/>
      </w:pPr>
    </w:p>
    <w:p w14:paraId="25F6F959" w14:textId="77777777" w:rsidR="00B12623" w:rsidRDefault="00271F7C" w:rsidP="00B12623">
      <w:pPr>
        <w:pStyle w:val="NoSpacing"/>
      </w:pPr>
      <w:hyperlink r:id="rId53" w:history="1">
        <w:r w:rsidR="002C0ADF" w:rsidRPr="00C53BC9">
          <w:rPr>
            <w:rStyle w:val="Hyperlink"/>
          </w:rPr>
          <w:t>Stay</w:t>
        </w:r>
        <w:r w:rsidR="008823D8">
          <w:rPr>
            <w:rStyle w:val="Hyperlink"/>
          </w:rPr>
          <w:t>-a</w:t>
        </w:r>
        <w:r w:rsidR="002C0ADF" w:rsidRPr="00C53BC9">
          <w:rPr>
            <w:rStyle w:val="Hyperlink"/>
          </w:rPr>
          <w:t>t</w:t>
        </w:r>
        <w:r w:rsidR="008823D8">
          <w:rPr>
            <w:rStyle w:val="Hyperlink"/>
          </w:rPr>
          <w:t>-</w:t>
        </w:r>
        <w:r w:rsidR="002C0ADF" w:rsidRPr="00C53BC9">
          <w:rPr>
            <w:rStyle w:val="Hyperlink"/>
          </w:rPr>
          <w:t>Work/Return</w:t>
        </w:r>
        <w:r w:rsidR="008823D8">
          <w:rPr>
            <w:rStyle w:val="Hyperlink"/>
          </w:rPr>
          <w:t>-</w:t>
        </w:r>
        <w:r w:rsidR="002C0ADF" w:rsidRPr="00C53BC9">
          <w:rPr>
            <w:rStyle w:val="Hyperlink"/>
          </w:rPr>
          <w:t>to</w:t>
        </w:r>
        <w:r w:rsidR="008823D8">
          <w:rPr>
            <w:rStyle w:val="Hyperlink"/>
          </w:rPr>
          <w:t>-</w:t>
        </w:r>
        <w:r w:rsidR="002C0ADF" w:rsidRPr="00C53BC9">
          <w:rPr>
            <w:rStyle w:val="Hyperlink"/>
          </w:rPr>
          <w:t xml:space="preserve">Work </w:t>
        </w:r>
        <w:r w:rsidR="008823D8">
          <w:rPr>
            <w:rStyle w:val="Hyperlink"/>
          </w:rPr>
          <w:t xml:space="preserve">(SAW/RTW) </w:t>
        </w:r>
        <w:r w:rsidR="002C0ADF" w:rsidRPr="00C53BC9">
          <w:rPr>
            <w:rStyle w:val="Hyperlink"/>
          </w:rPr>
          <w:t>Best Practices</w:t>
        </w:r>
      </w:hyperlink>
      <w:r w:rsidR="002C0ADF">
        <w:br/>
        <w:t xml:space="preserve">Explores the State of Montana’s experiences with SAW/RTW programs, which </w:t>
      </w:r>
      <w:r w:rsidR="002C0ADF" w:rsidRPr="00C53BC9">
        <w:t>help injured employees return to meaningful work as fits their medical condition as soon as possible.</w:t>
      </w:r>
      <w:r w:rsidR="002C0ADF">
        <w:t xml:space="preserve"> </w:t>
      </w:r>
    </w:p>
    <w:p w14:paraId="418105A6" w14:textId="77777777" w:rsidR="00B12623" w:rsidRDefault="00B12623" w:rsidP="00B12623">
      <w:pPr>
        <w:pStyle w:val="NoSpacing"/>
      </w:pPr>
    </w:p>
    <w:p w14:paraId="402836A0" w14:textId="0EC89ECE" w:rsidR="002C0ADF" w:rsidRDefault="00271F7C" w:rsidP="00B12623">
      <w:pPr>
        <w:pStyle w:val="NoSpacing"/>
      </w:pPr>
      <w:hyperlink r:id="rId54" w:history="1">
        <w:r w:rsidR="002C0ADF" w:rsidRPr="007C7B9A">
          <w:rPr>
            <w:rStyle w:val="Hyperlink"/>
          </w:rPr>
          <w:t>Promoting SAW/RTW Policies — Recommendations to Help Workers Who Experience Illness or Injury – Video</w:t>
        </w:r>
      </w:hyperlink>
      <w:r w:rsidR="002C0ADF">
        <w:br/>
      </w:r>
      <w:r w:rsidR="002C0ADF" w:rsidRPr="00AC58E3">
        <w:t xml:space="preserve">A webcast of the </w:t>
      </w:r>
      <w:r w:rsidR="00C83182">
        <w:t>Stay-at-Work/Return-to-Work (</w:t>
      </w:r>
      <w:r w:rsidR="002C0ADF" w:rsidRPr="00AC58E3">
        <w:t>SAW/RTW</w:t>
      </w:r>
      <w:r w:rsidR="00C83182">
        <w:t>)</w:t>
      </w:r>
      <w:r w:rsidR="002C0ADF" w:rsidRPr="00AC58E3">
        <w:t xml:space="preserve"> Collaborative recorded by Mathematica in October 2015.</w:t>
      </w:r>
      <w:r w:rsidR="002C0ADF">
        <w:br/>
      </w:r>
      <w:r w:rsidR="002C0ADF">
        <w:br/>
      </w:r>
      <w:hyperlink r:id="rId55" w:history="1">
        <w:r w:rsidR="002C0ADF" w:rsidRPr="008769A2">
          <w:rPr>
            <w:rStyle w:val="Hyperlink"/>
          </w:rPr>
          <w:t xml:space="preserve">Helping Workers Keep Their Jobs After an Injury, Illness, or Disability </w:t>
        </w:r>
        <w:r w:rsidR="002C0ADF">
          <w:rPr>
            <w:rStyle w:val="Hyperlink"/>
          </w:rPr>
          <w:t>–</w:t>
        </w:r>
        <w:r w:rsidR="002C0ADF" w:rsidRPr="008769A2">
          <w:rPr>
            <w:rStyle w:val="Hyperlink"/>
          </w:rPr>
          <w:t xml:space="preserve"> Video</w:t>
        </w:r>
      </w:hyperlink>
      <w:r w:rsidR="002C0ADF">
        <w:br/>
      </w:r>
      <w:r w:rsidR="002C0ADF" w:rsidRPr="00AC58E3">
        <w:t xml:space="preserve">A webcast of the </w:t>
      </w:r>
      <w:r w:rsidR="0019442E">
        <w:t>Stay-at-Work/Return-to-Work (</w:t>
      </w:r>
      <w:r w:rsidR="0019442E" w:rsidRPr="00AC58E3">
        <w:t>SAW/RTW</w:t>
      </w:r>
      <w:r w:rsidR="0019442E">
        <w:t>)</w:t>
      </w:r>
      <w:r w:rsidR="0019442E" w:rsidRPr="00AC58E3">
        <w:t xml:space="preserve"> Collaborative </w:t>
      </w:r>
      <w:r w:rsidR="002C0ADF" w:rsidRPr="00AC58E3">
        <w:t>recorded by Mathematica in</w:t>
      </w:r>
      <w:r w:rsidR="002C0ADF">
        <w:t xml:space="preserve"> September 2016.</w:t>
      </w:r>
    </w:p>
    <w:p w14:paraId="28A1A0E4" w14:textId="12D0031A" w:rsidR="002C0ADF" w:rsidRDefault="002C0ADF" w:rsidP="00271F7C">
      <w:pPr>
        <w:pStyle w:val="NoSpacing"/>
        <w:spacing w:after="5160"/>
      </w:pPr>
      <w:bookmarkStart w:id="4" w:name="_GoBack"/>
      <w:bookmarkEnd w:id="4"/>
    </w:p>
    <w:tbl>
      <w:tblPr>
        <w:tblStyle w:val="TableGrid"/>
        <w:tblW w:w="0" w:type="auto"/>
        <w:tblBorders>
          <w:left w:val="none" w:sz="0" w:space="0" w:color="auto"/>
          <w:bottom w:val="none" w:sz="0" w:space="0" w:color="auto"/>
          <w:right w:val="none" w:sz="0" w:space="0" w:color="auto"/>
        </w:tblBorders>
        <w:tblCellMar>
          <w:top w:w="115" w:type="dxa"/>
          <w:left w:w="0" w:type="dxa"/>
          <w:right w:w="0" w:type="dxa"/>
        </w:tblCellMar>
        <w:tblLook w:val="04A0" w:firstRow="1" w:lastRow="0" w:firstColumn="1" w:lastColumn="0" w:noHBand="0" w:noVBand="1"/>
      </w:tblPr>
      <w:tblGrid>
        <w:gridCol w:w="9350"/>
      </w:tblGrid>
      <w:tr w:rsidR="00271F7C" w14:paraId="6C8E7C5D" w14:textId="77777777" w:rsidTr="00D65FE3">
        <w:tc>
          <w:tcPr>
            <w:tcW w:w="9350" w:type="dxa"/>
          </w:tcPr>
          <w:p w14:paraId="1A8E9FA0" w14:textId="77777777" w:rsidR="00271F7C" w:rsidRDefault="00271F7C" w:rsidP="00D65FE3">
            <w:r w:rsidRPr="00961EDB">
              <w:rPr>
                <w:sz w:val="18"/>
              </w:rPr>
              <w:t>This document was prepared for the U.S. Department of Labor (DOL) Office of Disability Employment Policy and Retaining Employment and Talent After Injury/Illness Network (RETAIN) state grantees, by the American Institutes for Research under DOL Contract Number 1605DC-18-F-00429. The views expressed are those of the authors and should not be attributed to DOL, nor does mention of trade names, commercial products, or organizations imply endorsement of same by the U.S. Government.</w:t>
            </w:r>
          </w:p>
        </w:tc>
      </w:tr>
    </w:tbl>
    <w:p w14:paraId="5113A907" w14:textId="429BBD5A" w:rsidR="00776BF7" w:rsidRPr="00776BF7" w:rsidRDefault="00776BF7" w:rsidP="00776BF7">
      <w:pPr>
        <w:pStyle w:val="NoSpacing"/>
      </w:pPr>
    </w:p>
    <w:sectPr w:rsidR="00776BF7" w:rsidRPr="00776BF7">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BA0C1" w14:textId="77777777" w:rsidR="00673BB0" w:rsidRDefault="00673BB0" w:rsidP="00E85E39">
      <w:pPr>
        <w:spacing w:after="0" w:line="240" w:lineRule="auto"/>
      </w:pPr>
      <w:r>
        <w:separator/>
      </w:r>
    </w:p>
  </w:endnote>
  <w:endnote w:type="continuationSeparator" w:id="0">
    <w:p w14:paraId="31F62BAF" w14:textId="77777777" w:rsidR="00673BB0" w:rsidRDefault="00673BB0" w:rsidP="00E8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669574"/>
      <w:docPartObj>
        <w:docPartGallery w:val="Page Numbers (Bottom of Page)"/>
        <w:docPartUnique/>
      </w:docPartObj>
    </w:sdtPr>
    <w:sdtEndPr>
      <w:rPr>
        <w:noProof/>
      </w:rPr>
    </w:sdtEndPr>
    <w:sdtContent>
      <w:p w14:paraId="4E67C3A7" w14:textId="78B28C76" w:rsidR="00CA7745" w:rsidRDefault="00CA7745">
        <w:pPr>
          <w:pStyle w:val="Footer"/>
          <w:jc w:val="right"/>
        </w:pPr>
        <w:r>
          <w:fldChar w:fldCharType="begin"/>
        </w:r>
        <w:r>
          <w:instrText xml:space="preserve"> PAGE   \* MERGEFORMAT </w:instrText>
        </w:r>
        <w:r>
          <w:fldChar w:fldCharType="separate"/>
        </w:r>
        <w:r w:rsidR="00271F7C">
          <w:rPr>
            <w:noProof/>
          </w:rPr>
          <w:t>7</w:t>
        </w:r>
        <w:r>
          <w:rPr>
            <w:noProof/>
          </w:rPr>
          <w:fldChar w:fldCharType="end"/>
        </w:r>
      </w:p>
    </w:sdtContent>
  </w:sdt>
  <w:p w14:paraId="05B7D17C" w14:textId="77777777" w:rsidR="00CA7745" w:rsidRDefault="00CA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2B760" w14:textId="77777777" w:rsidR="00673BB0" w:rsidRDefault="00673BB0" w:rsidP="00E85E39">
      <w:pPr>
        <w:spacing w:after="0" w:line="240" w:lineRule="auto"/>
      </w:pPr>
      <w:r>
        <w:separator/>
      </w:r>
    </w:p>
  </w:footnote>
  <w:footnote w:type="continuationSeparator" w:id="0">
    <w:p w14:paraId="34DE1230" w14:textId="77777777" w:rsidR="00673BB0" w:rsidRDefault="00673BB0" w:rsidP="00E85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51AE"/>
    <w:multiLevelType w:val="multilevel"/>
    <w:tmpl w:val="7F0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8571C"/>
    <w:multiLevelType w:val="multilevel"/>
    <w:tmpl w:val="28D4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53E7F"/>
    <w:multiLevelType w:val="hybridMultilevel"/>
    <w:tmpl w:val="810062CA"/>
    <w:lvl w:ilvl="0" w:tplc="CF28C62E">
      <w:start w:val="1"/>
      <w:numFmt w:val="bullet"/>
      <w:pStyle w:val="TableBullet1"/>
      <w:lvlText w:val="►"/>
      <w:lvlJc w:val="left"/>
      <w:pPr>
        <w:ind w:left="367" w:hanging="360"/>
      </w:pPr>
      <w:rPr>
        <w:rFonts w:hint="default"/>
        <w:b w:val="0"/>
        <w:bCs w:val="0"/>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C4A68"/>
    <w:multiLevelType w:val="hybridMultilevel"/>
    <w:tmpl w:val="DEF28CA8"/>
    <w:lvl w:ilvl="0" w:tplc="9176BDB6">
      <w:start w:val="1"/>
      <w:numFmt w:val="bullet"/>
      <w:pStyle w:val="TableBullet2"/>
      <w:lvlText w:val="●"/>
      <w:lvlJc w:val="left"/>
      <w:pPr>
        <w:ind w:left="1008" w:hanging="360"/>
      </w:pPr>
      <w:rPr>
        <w:rFonts w:ascii="Times New Roman" w:hAnsi="Times New Roman" w:cs="Times New Roman" w:hint="default"/>
        <w:b w:val="0"/>
        <w:bCs w:val="0"/>
        <w:i w:val="0"/>
        <w:iCs w:val="0"/>
        <w:caps w:val="0"/>
        <w:strike w:val="0"/>
        <w:dstrike w:val="0"/>
        <w:outline w:val="0"/>
        <w:shadow w:val="0"/>
        <w:emboss w:val="0"/>
        <w:imprint w:val="0"/>
        <w:vanish w:val="0"/>
        <w:color w:val="4472C4" w:themeColor="accent1"/>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5EFF2FEA"/>
    <w:multiLevelType w:val="multilevel"/>
    <w:tmpl w:val="BF8E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54"/>
    <w:rsid w:val="00001185"/>
    <w:rsid w:val="000025D7"/>
    <w:rsid w:val="00002B52"/>
    <w:rsid w:val="00010BAB"/>
    <w:rsid w:val="00014069"/>
    <w:rsid w:val="000163D8"/>
    <w:rsid w:val="00020382"/>
    <w:rsid w:val="000242B8"/>
    <w:rsid w:val="000624A2"/>
    <w:rsid w:val="000719C7"/>
    <w:rsid w:val="00087436"/>
    <w:rsid w:val="000913CF"/>
    <w:rsid w:val="000A60A8"/>
    <w:rsid w:val="000B4BDA"/>
    <w:rsid w:val="000D1854"/>
    <w:rsid w:val="000D6E28"/>
    <w:rsid w:val="000D7222"/>
    <w:rsid w:val="000E17F5"/>
    <w:rsid w:val="000F60B3"/>
    <w:rsid w:val="00116090"/>
    <w:rsid w:val="00131C14"/>
    <w:rsid w:val="00133E77"/>
    <w:rsid w:val="001411E4"/>
    <w:rsid w:val="0014302E"/>
    <w:rsid w:val="0016753B"/>
    <w:rsid w:val="0017368A"/>
    <w:rsid w:val="00173847"/>
    <w:rsid w:val="0019442E"/>
    <w:rsid w:val="001B4223"/>
    <w:rsid w:val="001C0F2B"/>
    <w:rsid w:val="001D796D"/>
    <w:rsid w:val="00201ED9"/>
    <w:rsid w:val="00204E72"/>
    <w:rsid w:val="00214314"/>
    <w:rsid w:val="002405C0"/>
    <w:rsid w:val="00245275"/>
    <w:rsid w:val="002456C5"/>
    <w:rsid w:val="00257009"/>
    <w:rsid w:val="002623FE"/>
    <w:rsid w:val="00271F7C"/>
    <w:rsid w:val="00291687"/>
    <w:rsid w:val="002921E7"/>
    <w:rsid w:val="00294A4F"/>
    <w:rsid w:val="002A5AEE"/>
    <w:rsid w:val="002C0ADF"/>
    <w:rsid w:val="002D394D"/>
    <w:rsid w:val="002E090D"/>
    <w:rsid w:val="002F7860"/>
    <w:rsid w:val="003073ED"/>
    <w:rsid w:val="0032196E"/>
    <w:rsid w:val="00337CC7"/>
    <w:rsid w:val="0034461C"/>
    <w:rsid w:val="0035387D"/>
    <w:rsid w:val="00356E2F"/>
    <w:rsid w:val="0037659B"/>
    <w:rsid w:val="00386161"/>
    <w:rsid w:val="003877E0"/>
    <w:rsid w:val="003947B0"/>
    <w:rsid w:val="003B6594"/>
    <w:rsid w:val="003C2765"/>
    <w:rsid w:val="003E0BE9"/>
    <w:rsid w:val="003E518A"/>
    <w:rsid w:val="003F04B0"/>
    <w:rsid w:val="003F677E"/>
    <w:rsid w:val="00403D27"/>
    <w:rsid w:val="00407BB9"/>
    <w:rsid w:val="0041596A"/>
    <w:rsid w:val="00430404"/>
    <w:rsid w:val="00430A87"/>
    <w:rsid w:val="004404BC"/>
    <w:rsid w:val="0046155D"/>
    <w:rsid w:val="0048244E"/>
    <w:rsid w:val="00483669"/>
    <w:rsid w:val="00490F41"/>
    <w:rsid w:val="004B49E2"/>
    <w:rsid w:val="004C2F07"/>
    <w:rsid w:val="004C546A"/>
    <w:rsid w:val="004E4D5B"/>
    <w:rsid w:val="004E7654"/>
    <w:rsid w:val="00510015"/>
    <w:rsid w:val="00511CB4"/>
    <w:rsid w:val="005250DF"/>
    <w:rsid w:val="00532934"/>
    <w:rsid w:val="00532D59"/>
    <w:rsid w:val="0053652B"/>
    <w:rsid w:val="00561F7C"/>
    <w:rsid w:val="00567B94"/>
    <w:rsid w:val="005851D8"/>
    <w:rsid w:val="0059289E"/>
    <w:rsid w:val="00597CB6"/>
    <w:rsid w:val="005B36E8"/>
    <w:rsid w:val="005D33F2"/>
    <w:rsid w:val="005D7FA5"/>
    <w:rsid w:val="005E1E92"/>
    <w:rsid w:val="005E37B7"/>
    <w:rsid w:val="005E3977"/>
    <w:rsid w:val="005E49E9"/>
    <w:rsid w:val="005F22A5"/>
    <w:rsid w:val="005F3A05"/>
    <w:rsid w:val="005F6AC6"/>
    <w:rsid w:val="006059B3"/>
    <w:rsid w:val="006268BD"/>
    <w:rsid w:val="00627EA3"/>
    <w:rsid w:val="00644441"/>
    <w:rsid w:val="00673BB0"/>
    <w:rsid w:val="00675E77"/>
    <w:rsid w:val="00682183"/>
    <w:rsid w:val="00683D1C"/>
    <w:rsid w:val="006950E8"/>
    <w:rsid w:val="00695309"/>
    <w:rsid w:val="006A7A61"/>
    <w:rsid w:val="006D0CAB"/>
    <w:rsid w:val="006D2A23"/>
    <w:rsid w:val="006E3009"/>
    <w:rsid w:val="006E6DA9"/>
    <w:rsid w:val="00705B2A"/>
    <w:rsid w:val="00713BB3"/>
    <w:rsid w:val="00715E30"/>
    <w:rsid w:val="00725309"/>
    <w:rsid w:val="0073029E"/>
    <w:rsid w:val="00732768"/>
    <w:rsid w:val="00776BF7"/>
    <w:rsid w:val="007A44F7"/>
    <w:rsid w:val="007A71F5"/>
    <w:rsid w:val="007C7B9A"/>
    <w:rsid w:val="007E736D"/>
    <w:rsid w:val="008072DC"/>
    <w:rsid w:val="008211B5"/>
    <w:rsid w:val="00825463"/>
    <w:rsid w:val="00845C44"/>
    <w:rsid w:val="0084727D"/>
    <w:rsid w:val="00847E42"/>
    <w:rsid w:val="008674FC"/>
    <w:rsid w:val="008730C5"/>
    <w:rsid w:val="008769A2"/>
    <w:rsid w:val="008823D8"/>
    <w:rsid w:val="008A787A"/>
    <w:rsid w:val="008D1E67"/>
    <w:rsid w:val="008D7648"/>
    <w:rsid w:val="008E28BD"/>
    <w:rsid w:val="008F4F4B"/>
    <w:rsid w:val="00900BC0"/>
    <w:rsid w:val="00910389"/>
    <w:rsid w:val="00922615"/>
    <w:rsid w:val="009259DD"/>
    <w:rsid w:val="00927155"/>
    <w:rsid w:val="0093234C"/>
    <w:rsid w:val="00936A60"/>
    <w:rsid w:val="00937F99"/>
    <w:rsid w:val="00945E94"/>
    <w:rsid w:val="00956232"/>
    <w:rsid w:val="009624F1"/>
    <w:rsid w:val="00964BB1"/>
    <w:rsid w:val="00970E6B"/>
    <w:rsid w:val="00977D01"/>
    <w:rsid w:val="00994FD2"/>
    <w:rsid w:val="009A3819"/>
    <w:rsid w:val="009A6BD0"/>
    <w:rsid w:val="009A72C1"/>
    <w:rsid w:val="009B45B3"/>
    <w:rsid w:val="009B4618"/>
    <w:rsid w:val="009C4896"/>
    <w:rsid w:val="009C60CD"/>
    <w:rsid w:val="009D46BC"/>
    <w:rsid w:val="009D68A3"/>
    <w:rsid w:val="009F24DF"/>
    <w:rsid w:val="009F5B63"/>
    <w:rsid w:val="009F5C66"/>
    <w:rsid w:val="009F6BA9"/>
    <w:rsid w:val="00A04F4A"/>
    <w:rsid w:val="00A062DE"/>
    <w:rsid w:val="00A3464E"/>
    <w:rsid w:val="00A51FD3"/>
    <w:rsid w:val="00A604AC"/>
    <w:rsid w:val="00A706DD"/>
    <w:rsid w:val="00A74912"/>
    <w:rsid w:val="00A826D0"/>
    <w:rsid w:val="00A846A4"/>
    <w:rsid w:val="00A90A0A"/>
    <w:rsid w:val="00A93301"/>
    <w:rsid w:val="00AA23D1"/>
    <w:rsid w:val="00AA50C9"/>
    <w:rsid w:val="00AB2B2D"/>
    <w:rsid w:val="00AC1530"/>
    <w:rsid w:val="00AC58E3"/>
    <w:rsid w:val="00AD460D"/>
    <w:rsid w:val="00AF31A9"/>
    <w:rsid w:val="00B0780C"/>
    <w:rsid w:val="00B12623"/>
    <w:rsid w:val="00B14281"/>
    <w:rsid w:val="00B21ADA"/>
    <w:rsid w:val="00B30F78"/>
    <w:rsid w:val="00B33B0E"/>
    <w:rsid w:val="00B33EC9"/>
    <w:rsid w:val="00B41CD4"/>
    <w:rsid w:val="00B4200E"/>
    <w:rsid w:val="00B43CAC"/>
    <w:rsid w:val="00B46104"/>
    <w:rsid w:val="00B65C44"/>
    <w:rsid w:val="00B74714"/>
    <w:rsid w:val="00B83C23"/>
    <w:rsid w:val="00B843E2"/>
    <w:rsid w:val="00BB2094"/>
    <w:rsid w:val="00BC5519"/>
    <w:rsid w:val="00BC75C4"/>
    <w:rsid w:val="00BC795F"/>
    <w:rsid w:val="00BC7B72"/>
    <w:rsid w:val="00BD2883"/>
    <w:rsid w:val="00BE0FF5"/>
    <w:rsid w:val="00BF4FFB"/>
    <w:rsid w:val="00C024D1"/>
    <w:rsid w:val="00C1783E"/>
    <w:rsid w:val="00C270F5"/>
    <w:rsid w:val="00C35697"/>
    <w:rsid w:val="00C357EA"/>
    <w:rsid w:val="00C51221"/>
    <w:rsid w:val="00C53BC9"/>
    <w:rsid w:val="00C55264"/>
    <w:rsid w:val="00C560F4"/>
    <w:rsid w:val="00C62C7B"/>
    <w:rsid w:val="00C67B7E"/>
    <w:rsid w:val="00C758DD"/>
    <w:rsid w:val="00C83182"/>
    <w:rsid w:val="00C93A35"/>
    <w:rsid w:val="00CA357E"/>
    <w:rsid w:val="00CA7745"/>
    <w:rsid w:val="00CB4BD6"/>
    <w:rsid w:val="00CE488D"/>
    <w:rsid w:val="00CF52E2"/>
    <w:rsid w:val="00D0623E"/>
    <w:rsid w:val="00D112CE"/>
    <w:rsid w:val="00D35930"/>
    <w:rsid w:val="00D372FF"/>
    <w:rsid w:val="00D42A85"/>
    <w:rsid w:val="00D47C33"/>
    <w:rsid w:val="00D51EB2"/>
    <w:rsid w:val="00D57FA4"/>
    <w:rsid w:val="00D924A4"/>
    <w:rsid w:val="00DB6566"/>
    <w:rsid w:val="00DB6672"/>
    <w:rsid w:val="00DB6DC4"/>
    <w:rsid w:val="00DC1178"/>
    <w:rsid w:val="00DC7E0B"/>
    <w:rsid w:val="00DE009F"/>
    <w:rsid w:val="00DE5277"/>
    <w:rsid w:val="00DE77DF"/>
    <w:rsid w:val="00DF618F"/>
    <w:rsid w:val="00E029D9"/>
    <w:rsid w:val="00E111A5"/>
    <w:rsid w:val="00E33EFD"/>
    <w:rsid w:val="00E34998"/>
    <w:rsid w:val="00E569B0"/>
    <w:rsid w:val="00E641E5"/>
    <w:rsid w:val="00E71191"/>
    <w:rsid w:val="00E75BD7"/>
    <w:rsid w:val="00E85E39"/>
    <w:rsid w:val="00E950C3"/>
    <w:rsid w:val="00EA4B54"/>
    <w:rsid w:val="00ED63EF"/>
    <w:rsid w:val="00EE15FF"/>
    <w:rsid w:val="00EF7764"/>
    <w:rsid w:val="00F00375"/>
    <w:rsid w:val="00F05FF4"/>
    <w:rsid w:val="00F179B5"/>
    <w:rsid w:val="00F22D13"/>
    <w:rsid w:val="00F2304C"/>
    <w:rsid w:val="00F23BE1"/>
    <w:rsid w:val="00F332AA"/>
    <w:rsid w:val="00F3398E"/>
    <w:rsid w:val="00F36BFC"/>
    <w:rsid w:val="00F50358"/>
    <w:rsid w:val="00F7659B"/>
    <w:rsid w:val="00F86C80"/>
    <w:rsid w:val="00FA58FF"/>
    <w:rsid w:val="00FC268F"/>
    <w:rsid w:val="00FC3D24"/>
    <w:rsid w:val="00FD087C"/>
    <w:rsid w:val="00FD7BFB"/>
    <w:rsid w:val="00FE334B"/>
    <w:rsid w:val="00FE422F"/>
    <w:rsid w:val="00FF1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B951"/>
  <w15:chartTrackingRefBased/>
  <w15:docId w15:val="{49846893-B8FA-4AA7-896F-F0DB5C11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link w:val="Heading1Char"/>
    <w:uiPriority w:val="9"/>
    <w:qFormat/>
    <w:rsid w:val="00E85E39"/>
    <w:pPr>
      <w:outlineLvl w:val="0"/>
    </w:pPr>
    <w:rPr>
      <w:b/>
      <w:sz w:val="28"/>
      <w:u w:val="single"/>
    </w:rPr>
  </w:style>
  <w:style w:type="paragraph" w:styleId="Heading2">
    <w:name w:val="heading 2"/>
    <w:basedOn w:val="Normal"/>
    <w:next w:val="Normal"/>
    <w:link w:val="Heading2Char"/>
    <w:uiPriority w:val="9"/>
    <w:semiHidden/>
    <w:unhideWhenUsed/>
    <w:qFormat/>
    <w:rsid w:val="00776B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654"/>
    <w:rPr>
      <w:color w:val="0563C1" w:themeColor="hyperlink"/>
      <w:u w:val="single"/>
    </w:rPr>
  </w:style>
  <w:style w:type="character" w:customStyle="1" w:styleId="UnresolvedMention1">
    <w:name w:val="Unresolved Mention1"/>
    <w:basedOn w:val="DefaultParagraphFont"/>
    <w:uiPriority w:val="99"/>
    <w:semiHidden/>
    <w:unhideWhenUsed/>
    <w:rsid w:val="004E7654"/>
    <w:rPr>
      <w:color w:val="605E5C"/>
      <w:shd w:val="clear" w:color="auto" w:fill="E1DFDD"/>
    </w:rPr>
  </w:style>
  <w:style w:type="character" w:styleId="Strong">
    <w:name w:val="Strong"/>
    <w:basedOn w:val="DefaultParagraphFont"/>
    <w:uiPriority w:val="22"/>
    <w:qFormat/>
    <w:rsid w:val="00403D27"/>
    <w:rPr>
      <w:b/>
      <w:bCs/>
    </w:rPr>
  </w:style>
  <w:style w:type="paragraph" w:styleId="NoSpacing">
    <w:name w:val="No Spacing"/>
    <w:uiPriority w:val="1"/>
    <w:qFormat/>
    <w:rsid w:val="00AF31A9"/>
    <w:pPr>
      <w:spacing w:after="0" w:line="240" w:lineRule="auto"/>
    </w:pPr>
  </w:style>
  <w:style w:type="character" w:styleId="FollowedHyperlink">
    <w:name w:val="FollowedHyperlink"/>
    <w:basedOn w:val="DefaultParagraphFont"/>
    <w:uiPriority w:val="99"/>
    <w:semiHidden/>
    <w:unhideWhenUsed/>
    <w:rsid w:val="00AC58E3"/>
    <w:rPr>
      <w:color w:val="954F72" w:themeColor="followedHyperlink"/>
      <w:u w:val="single"/>
    </w:rPr>
  </w:style>
  <w:style w:type="character" w:customStyle="1" w:styleId="Heading1Char">
    <w:name w:val="Heading 1 Char"/>
    <w:basedOn w:val="DefaultParagraphFont"/>
    <w:link w:val="Heading1"/>
    <w:uiPriority w:val="9"/>
    <w:rsid w:val="00E85E39"/>
    <w:rPr>
      <w:b/>
      <w:sz w:val="28"/>
      <w:u w:val="single"/>
    </w:rPr>
  </w:style>
  <w:style w:type="paragraph" w:customStyle="1" w:styleId="TableBullet1">
    <w:name w:val="Table Bullet 1"/>
    <w:basedOn w:val="Normal"/>
    <w:uiPriority w:val="16"/>
    <w:qFormat/>
    <w:rsid w:val="005250DF"/>
    <w:pPr>
      <w:numPr>
        <w:numId w:val="4"/>
      </w:numPr>
      <w:spacing w:before="40" w:after="40" w:line="240" w:lineRule="auto"/>
    </w:pPr>
    <w:rPr>
      <w:rFonts w:eastAsiaTheme="minorHAnsi"/>
      <w:sz w:val="20"/>
      <w:lang w:eastAsia="en-US"/>
    </w:rPr>
  </w:style>
  <w:style w:type="character" w:customStyle="1" w:styleId="Heading2Char">
    <w:name w:val="Heading 2 Char"/>
    <w:basedOn w:val="DefaultParagraphFont"/>
    <w:link w:val="Heading2"/>
    <w:uiPriority w:val="9"/>
    <w:rsid w:val="00776BF7"/>
    <w:rPr>
      <w:rFonts w:asciiTheme="majorHAnsi" w:eastAsiaTheme="majorEastAsia" w:hAnsiTheme="majorHAnsi" w:cstheme="majorBidi"/>
      <w:color w:val="2F5496" w:themeColor="accent1" w:themeShade="BF"/>
      <w:sz w:val="26"/>
      <w:szCs w:val="26"/>
    </w:rPr>
  </w:style>
  <w:style w:type="paragraph" w:customStyle="1" w:styleId="TableBullet2">
    <w:name w:val="Table Bullet 2"/>
    <w:basedOn w:val="Normal"/>
    <w:uiPriority w:val="16"/>
    <w:qFormat/>
    <w:rsid w:val="003F04B0"/>
    <w:pPr>
      <w:numPr>
        <w:numId w:val="5"/>
      </w:numPr>
      <w:spacing w:before="40" w:after="40" w:line="240" w:lineRule="auto"/>
      <w:ind w:left="727"/>
    </w:pPr>
    <w:rPr>
      <w:rFonts w:eastAsiaTheme="minorHAnsi"/>
      <w:sz w:val="20"/>
      <w:lang w:eastAsia="en-US"/>
    </w:rPr>
  </w:style>
  <w:style w:type="paragraph" w:styleId="Title">
    <w:name w:val="Title"/>
    <w:basedOn w:val="NoSpacing"/>
    <w:next w:val="Normal"/>
    <w:link w:val="TitleChar"/>
    <w:uiPriority w:val="10"/>
    <w:qFormat/>
    <w:rsid w:val="00E85E39"/>
    <w:pPr>
      <w:jc w:val="center"/>
    </w:pPr>
    <w:rPr>
      <w:b/>
      <w:sz w:val="32"/>
    </w:rPr>
  </w:style>
  <w:style w:type="character" w:customStyle="1" w:styleId="TitleChar">
    <w:name w:val="Title Char"/>
    <w:basedOn w:val="DefaultParagraphFont"/>
    <w:link w:val="Title"/>
    <w:uiPriority w:val="10"/>
    <w:rsid w:val="00E85E39"/>
    <w:rPr>
      <w:b/>
      <w:sz w:val="32"/>
    </w:rPr>
  </w:style>
  <w:style w:type="paragraph" w:styleId="TOCHeading">
    <w:name w:val="TOC Heading"/>
    <w:basedOn w:val="Heading1"/>
    <w:next w:val="Normal"/>
    <w:uiPriority w:val="39"/>
    <w:unhideWhenUsed/>
    <w:qFormat/>
    <w:rsid w:val="00E85E39"/>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u w:val="none"/>
      <w:lang w:eastAsia="en-US"/>
    </w:rPr>
  </w:style>
  <w:style w:type="paragraph" w:styleId="TOC1">
    <w:name w:val="toc 1"/>
    <w:basedOn w:val="Normal"/>
    <w:next w:val="Normal"/>
    <w:autoRedefine/>
    <w:uiPriority w:val="39"/>
    <w:unhideWhenUsed/>
    <w:rsid w:val="00E85E39"/>
    <w:pPr>
      <w:spacing w:after="100"/>
    </w:pPr>
  </w:style>
  <w:style w:type="paragraph" w:styleId="Header">
    <w:name w:val="header"/>
    <w:basedOn w:val="Normal"/>
    <w:link w:val="HeaderChar"/>
    <w:uiPriority w:val="99"/>
    <w:unhideWhenUsed/>
    <w:rsid w:val="00E85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E39"/>
  </w:style>
  <w:style w:type="paragraph" w:styleId="Footer">
    <w:name w:val="footer"/>
    <w:basedOn w:val="Normal"/>
    <w:link w:val="FooterChar"/>
    <w:uiPriority w:val="99"/>
    <w:unhideWhenUsed/>
    <w:rsid w:val="00E8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E39"/>
  </w:style>
  <w:style w:type="character" w:styleId="CommentReference">
    <w:name w:val="annotation reference"/>
    <w:basedOn w:val="DefaultParagraphFont"/>
    <w:uiPriority w:val="99"/>
    <w:semiHidden/>
    <w:unhideWhenUsed/>
    <w:rsid w:val="00133E77"/>
    <w:rPr>
      <w:sz w:val="16"/>
      <w:szCs w:val="16"/>
    </w:rPr>
  </w:style>
  <w:style w:type="paragraph" w:styleId="CommentText">
    <w:name w:val="annotation text"/>
    <w:basedOn w:val="Normal"/>
    <w:link w:val="CommentTextChar"/>
    <w:uiPriority w:val="99"/>
    <w:semiHidden/>
    <w:unhideWhenUsed/>
    <w:rsid w:val="00133E77"/>
    <w:pPr>
      <w:spacing w:line="240" w:lineRule="auto"/>
    </w:pPr>
    <w:rPr>
      <w:sz w:val="20"/>
      <w:szCs w:val="20"/>
    </w:rPr>
  </w:style>
  <w:style w:type="character" w:customStyle="1" w:styleId="CommentTextChar">
    <w:name w:val="Comment Text Char"/>
    <w:basedOn w:val="DefaultParagraphFont"/>
    <w:link w:val="CommentText"/>
    <w:uiPriority w:val="99"/>
    <w:semiHidden/>
    <w:rsid w:val="00133E77"/>
    <w:rPr>
      <w:sz w:val="20"/>
      <w:szCs w:val="20"/>
    </w:rPr>
  </w:style>
  <w:style w:type="paragraph" w:styleId="CommentSubject">
    <w:name w:val="annotation subject"/>
    <w:basedOn w:val="CommentText"/>
    <w:next w:val="CommentText"/>
    <w:link w:val="CommentSubjectChar"/>
    <w:uiPriority w:val="99"/>
    <w:semiHidden/>
    <w:unhideWhenUsed/>
    <w:rsid w:val="00133E77"/>
    <w:rPr>
      <w:b/>
      <w:bCs/>
    </w:rPr>
  </w:style>
  <w:style w:type="character" w:customStyle="1" w:styleId="CommentSubjectChar">
    <w:name w:val="Comment Subject Char"/>
    <w:basedOn w:val="CommentTextChar"/>
    <w:link w:val="CommentSubject"/>
    <w:uiPriority w:val="99"/>
    <w:semiHidden/>
    <w:rsid w:val="00133E77"/>
    <w:rPr>
      <w:b/>
      <w:bCs/>
      <w:sz w:val="20"/>
      <w:szCs w:val="20"/>
    </w:rPr>
  </w:style>
  <w:style w:type="paragraph" w:styleId="BalloonText">
    <w:name w:val="Balloon Text"/>
    <w:basedOn w:val="Normal"/>
    <w:link w:val="BalloonTextChar"/>
    <w:uiPriority w:val="99"/>
    <w:semiHidden/>
    <w:unhideWhenUsed/>
    <w:rsid w:val="00133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E77"/>
    <w:rPr>
      <w:rFonts w:ascii="Segoe UI" w:hAnsi="Segoe UI" w:cs="Segoe UI"/>
      <w:sz w:val="18"/>
      <w:szCs w:val="18"/>
    </w:rPr>
  </w:style>
  <w:style w:type="character" w:customStyle="1" w:styleId="UnresolvedMention">
    <w:name w:val="Unresolved Mention"/>
    <w:basedOn w:val="DefaultParagraphFont"/>
    <w:uiPriority w:val="99"/>
    <w:semiHidden/>
    <w:unhideWhenUsed/>
    <w:rsid w:val="002E090D"/>
    <w:rPr>
      <w:color w:val="605E5C"/>
      <w:shd w:val="clear" w:color="auto" w:fill="E1DFDD"/>
    </w:rPr>
  </w:style>
  <w:style w:type="table" w:styleId="TableGrid">
    <w:name w:val="Table Grid"/>
    <w:basedOn w:val="TableNormal"/>
    <w:uiPriority w:val="39"/>
    <w:rsid w:val="00271F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1326">
      <w:bodyDiv w:val="1"/>
      <w:marLeft w:val="0"/>
      <w:marRight w:val="0"/>
      <w:marTop w:val="0"/>
      <w:marBottom w:val="0"/>
      <w:divBdr>
        <w:top w:val="none" w:sz="0" w:space="0" w:color="auto"/>
        <w:left w:val="none" w:sz="0" w:space="0" w:color="auto"/>
        <w:bottom w:val="none" w:sz="0" w:space="0" w:color="auto"/>
        <w:right w:val="none" w:sz="0" w:space="0" w:color="auto"/>
      </w:divBdr>
    </w:div>
    <w:div w:id="1026640840">
      <w:bodyDiv w:val="1"/>
      <w:marLeft w:val="0"/>
      <w:marRight w:val="0"/>
      <w:marTop w:val="0"/>
      <w:marBottom w:val="0"/>
      <w:divBdr>
        <w:top w:val="none" w:sz="0" w:space="0" w:color="auto"/>
        <w:left w:val="none" w:sz="0" w:space="0" w:color="auto"/>
        <w:bottom w:val="none" w:sz="0" w:space="0" w:color="auto"/>
        <w:right w:val="none" w:sz="0" w:space="0" w:color="auto"/>
      </w:divBdr>
    </w:div>
    <w:div w:id="1070419910">
      <w:bodyDiv w:val="1"/>
      <w:marLeft w:val="0"/>
      <w:marRight w:val="0"/>
      <w:marTop w:val="0"/>
      <w:marBottom w:val="0"/>
      <w:divBdr>
        <w:top w:val="none" w:sz="0" w:space="0" w:color="auto"/>
        <w:left w:val="none" w:sz="0" w:space="0" w:color="auto"/>
        <w:bottom w:val="none" w:sz="0" w:space="0" w:color="auto"/>
        <w:right w:val="none" w:sz="0" w:space="0" w:color="auto"/>
      </w:divBdr>
    </w:div>
    <w:div w:id="139100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odep/topics/FlexibleWorkArrangements.htm" TargetMode="External"/><Relationship Id="rId18" Type="http://schemas.openxmlformats.org/officeDocument/2006/relationships/hyperlink" Target="http://dmec.org/" TargetMode="External"/><Relationship Id="rId26" Type="http://schemas.openxmlformats.org/officeDocument/2006/relationships/hyperlink" Target="https://www.dol.gov/odep/pdf/20140917StayAtWork.pdf" TargetMode="External"/><Relationship Id="rId39" Type="http://schemas.openxmlformats.org/officeDocument/2006/relationships/hyperlink" Target="https://www.dol.gov/odep/topics/pdf/Disability%20Prevention%20Case%20Studies%20FINAL_2017-09-05.pdf" TargetMode="External"/><Relationship Id="rId21" Type="http://schemas.openxmlformats.org/officeDocument/2006/relationships/hyperlink" Target="https://www.whatcanyoudocampaign.org/wp-content/uploads/2019/02/Discussion-Guide-DVD-Insert-2-Employer-Representatives-2.7.2019.pdf" TargetMode="External"/><Relationship Id="rId34" Type="http://schemas.openxmlformats.org/officeDocument/2006/relationships/hyperlink" Target="http://www.lni.wa.gov/ClaimsIns/Insurance/Injury/LightDuty/Ertw/Default.asp" TargetMode="External"/><Relationship Id="rId42" Type="http://schemas.openxmlformats.org/officeDocument/2006/relationships/hyperlink" Target="https://www.dol.gov/odep/topics/pdf/PAP_Transition%20Back%20to%20Work%20FINAL_2017-09-07.pdf" TargetMode="External"/><Relationship Id="rId47" Type="http://schemas.openxmlformats.org/officeDocument/2006/relationships/hyperlink" Target="https://www.dol.gov/odep/topics/pdf/SAW-RTW_Est.%20Accountability_2015-10.pdf" TargetMode="External"/><Relationship Id="rId50" Type="http://schemas.openxmlformats.org/officeDocument/2006/relationships/hyperlink" Target="https://www.dol.gov/odep/topics/pdf/SAW-RTW_PolicyBrief_BehavioralInterventions.pdf" TargetMode="External"/><Relationship Id="rId55" Type="http://schemas.openxmlformats.org/officeDocument/2006/relationships/hyperlink" Target="https://www.youtube.com/watch?v=7_EK6af2eT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skearn.org/topics/retention-advancement/stay-at-work-return-to-work/" TargetMode="External"/><Relationship Id="rId29" Type="http://schemas.openxmlformats.org/officeDocument/2006/relationships/hyperlink" Target="https://askjan.org/index.cfm" TargetMode="External"/><Relationship Id="rId11" Type="http://schemas.openxmlformats.org/officeDocument/2006/relationships/hyperlink" Target="https://www.dol.gov/odep/return-to-work/" TargetMode="External"/><Relationship Id="rId24" Type="http://schemas.openxmlformats.org/officeDocument/2006/relationships/hyperlink" Target="https://www.csg.org/seed_report.pdf" TargetMode="External"/><Relationship Id="rId32" Type="http://schemas.openxmlformats.org/officeDocument/2006/relationships/hyperlink" Target="https://www.whatcanyoudocampaign.org/wp-content/uploads/2019/02/Discussion-Guide-DVD-Insert-3-Healthcare-Professionals-2.7.2019.pdf" TargetMode="External"/><Relationship Id="rId37" Type="http://schemas.openxmlformats.org/officeDocument/2006/relationships/hyperlink" Target="https://www.wcbsask.com/wp-content/uploads/2013/10/Return-to-Work_Foundational-Approach-to-Return-to-Function_Final.pdf" TargetMode="External"/><Relationship Id="rId40" Type="http://schemas.openxmlformats.org/officeDocument/2006/relationships/hyperlink" Target="https://www.dol.gov/odep/topics/pdf/PAP_COHE_2017-08-30.pdf" TargetMode="External"/><Relationship Id="rId45" Type="http://schemas.openxmlformats.org/officeDocument/2006/relationships/hyperlink" Target="https://www.dol.gov/odep/topics/pdf/RTW_Costs-Benefits_2015-03.pdf" TargetMode="External"/><Relationship Id="rId53" Type="http://schemas.openxmlformats.org/officeDocument/2006/relationships/hyperlink" Target="https://www.worksafemt.com/media/WSMT_SAW-RTW_Best_Practices.pdf"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whatcanyoudocampaign.org/psa-campaigns/working-works-psa/working-works-poster-se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atcanyoudocampaign.org/where-to-learn-more/resources-for-job-seekers-and-employees/" TargetMode="External"/><Relationship Id="rId22" Type="http://schemas.openxmlformats.org/officeDocument/2006/relationships/hyperlink" Target="https://www.whatcanyoudocampaign.org/psa-campaigns/working-works-psa/working-works-meet-the-cast/" TargetMode="External"/><Relationship Id="rId27" Type="http://schemas.openxmlformats.org/officeDocument/2006/relationships/hyperlink" Target="https://www.dol.gov/odep/topics/pdf/PAP_Transition%20Back%20to%20Work%20FINAL_2017-09-07.pdf" TargetMode="External"/><Relationship Id="rId30" Type="http://schemas.openxmlformats.org/officeDocument/2006/relationships/hyperlink" Target="https://www.csg.org/seed_report.pdf" TargetMode="External"/><Relationship Id="rId35" Type="http://schemas.openxmlformats.org/officeDocument/2006/relationships/hyperlink" Target="http://www.ihi.org/communities/blogs/a-new-way-to-engage-physicians" TargetMode="External"/><Relationship Id="rId43" Type="http://schemas.openxmlformats.org/officeDocument/2006/relationships/hyperlink" Target="https://www.dol.gov/odep/topics/pdf/RTW_in_HC_Sector_Promising%20Practices_2015-03.pdf" TargetMode="External"/><Relationship Id="rId48" Type="http://schemas.openxmlformats.org/officeDocument/2006/relationships/hyperlink" Target="https://www.dol.gov/odep/topics/pdf/SAW-RTW_Retention_FINAL_2015-10.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dol.gov/odep/topics/pdf/PAP_MSK-Pain%20Vol%201_2017-08-29.pdf" TargetMode="External"/><Relationship Id="rId3" Type="http://schemas.openxmlformats.org/officeDocument/2006/relationships/customXml" Target="../customXml/item3.xml"/><Relationship Id="rId12" Type="http://schemas.openxmlformats.org/officeDocument/2006/relationships/hyperlink" Target="https://askjan.org/index.cfm" TargetMode="External"/><Relationship Id="rId17" Type="http://schemas.openxmlformats.org/officeDocument/2006/relationships/hyperlink" Target="https://askjan.org/index.cfm" TargetMode="External"/><Relationship Id="rId25" Type="http://schemas.openxmlformats.org/officeDocument/2006/relationships/hyperlink" Target="http://www.askearn.org/topics/laws-regulations/employer_financial_incentives/" TargetMode="External"/><Relationship Id="rId33" Type="http://schemas.openxmlformats.org/officeDocument/2006/relationships/hyperlink" Target="https://www.whatcanyoudocampaign.org/psa-campaigns/working-works-psa/working-works-meet-the-cast/" TargetMode="External"/><Relationship Id="rId38" Type="http://schemas.openxmlformats.org/officeDocument/2006/relationships/hyperlink" Target="https://www.dol.gov/odep/topics/pdf/RTW_Role%20of%20Physician_2015-03.pdf" TargetMode="External"/><Relationship Id="rId46" Type="http://schemas.openxmlformats.org/officeDocument/2006/relationships/hyperlink" Target="https://www.dol.gov/odep/topics/pdf/RTW_Costs-Benefits_BRIEF_2015-03.pdf" TargetMode="External"/><Relationship Id="rId20" Type="http://schemas.openxmlformats.org/officeDocument/2006/relationships/hyperlink" Target="https://www.whatcanyoudocampaign.org/wp-content/uploads/2019/02/Discussion-Guide-DVD-Insert-1-Co-workers-2.7.2019.pdf" TargetMode="External"/><Relationship Id="rId41" Type="http://schemas.openxmlformats.org/officeDocument/2006/relationships/hyperlink" Target="https://www.ncbi.nlm.nih.gov/pmc/articles/PMC6250293/pdf/mlr-56-1018.pdf" TargetMode="External"/><Relationship Id="rId54" Type="http://schemas.openxmlformats.org/officeDocument/2006/relationships/hyperlink" Target="https://www.youtube.com/watch?v=ODcprGUQIg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skEARN.org" TargetMode="External"/><Relationship Id="rId23" Type="http://schemas.openxmlformats.org/officeDocument/2006/relationships/hyperlink" Target="https://www.dol.gov/odep/return-to-work/" TargetMode="External"/><Relationship Id="rId28" Type="http://schemas.openxmlformats.org/officeDocument/2006/relationships/hyperlink" Target="http://www.leadcenter.org/system/files/resource/downloadable_version/Best_Practices_Employee_Retention_Return_to_Work_Dec_2014.pdf" TargetMode="External"/><Relationship Id="rId36" Type="http://schemas.openxmlformats.org/officeDocument/2006/relationships/hyperlink" Target="https://www.irmi.com/articles/expert-commentary/return-to-work-best-practices" TargetMode="External"/><Relationship Id="rId49" Type="http://schemas.openxmlformats.org/officeDocument/2006/relationships/hyperlink" Target="https://www.dol.gov/odep/topics/pdf/SAW-RTW_Early%20Intervention_FINAL_2015-10.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whatcanyoudocampaign.org/psa-campaigns/working-works-psa/working-works-poster-series/" TargetMode="External"/><Relationship Id="rId44" Type="http://schemas.openxmlformats.org/officeDocument/2006/relationships/hyperlink" Target="http://www.ncsl.org/research/labor-and-employment/workers-compensation-report.aspx" TargetMode="External"/><Relationship Id="rId52" Type="http://schemas.openxmlformats.org/officeDocument/2006/relationships/hyperlink" Target="https://www.dol.gov/odep/topics/pdf/How%20to%20Mitigate%20Risk%20Factors%20FINAL_2017-09-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4AF1465758344D9599384FCE290BB1" ma:contentTypeVersion="6" ma:contentTypeDescription="Create a new document." ma:contentTypeScope="" ma:versionID="c79bbb35f8836a44e7bd0d78514da371">
  <xsd:schema xmlns:xsd="http://www.w3.org/2001/XMLSchema" xmlns:xs="http://www.w3.org/2001/XMLSchema" xmlns:p="http://schemas.microsoft.com/office/2006/metadata/properties" xmlns:ns2="3affcd61-448f-4f0d-850e-03a0573afd17" xmlns:ns3="74003d7d-deb7-42bf-bb87-0111fba567a3" targetNamespace="http://schemas.microsoft.com/office/2006/metadata/properties" ma:root="true" ma:fieldsID="77b3b5387a95c090915df288bcc348ca" ns2:_="" ns3:_="">
    <xsd:import namespace="3affcd61-448f-4f0d-850e-03a0573afd17"/>
    <xsd:import namespace="74003d7d-deb7-42bf-bb87-0111fba567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fcd61-448f-4f0d-850e-03a0573af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03d7d-deb7-42bf-bb87-0111fba56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39F8-B246-4B03-A783-67443A353667}">
  <ds:schemaRefs>
    <ds:schemaRef ds:uri="http://purl.org/dc/dcmitype/"/>
    <ds:schemaRef ds:uri="http://schemas.microsoft.com/office/2006/documentManagement/types"/>
    <ds:schemaRef ds:uri="74003d7d-deb7-42bf-bb87-0111fba567a3"/>
    <ds:schemaRef ds:uri="http://purl.org/dc/elements/1.1/"/>
    <ds:schemaRef ds:uri="http://www.w3.org/XML/1998/namespace"/>
    <ds:schemaRef ds:uri="3affcd61-448f-4f0d-850e-03a0573afd17"/>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3A88027-A7CF-4554-9865-C7E28908F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fcd61-448f-4f0d-850e-03a0573afd17"/>
    <ds:schemaRef ds:uri="74003d7d-deb7-42bf-bb87-0111fba56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E4171-51CC-4B38-BE6A-A431A9991C2A}">
  <ds:schemaRefs>
    <ds:schemaRef ds:uri="http://schemas.microsoft.com/sharepoint/v3/contenttype/forms"/>
  </ds:schemaRefs>
</ds:datastoreItem>
</file>

<file path=customXml/itemProps4.xml><?xml version="1.0" encoding="utf-8"?>
<ds:datastoreItem xmlns:ds="http://schemas.openxmlformats.org/officeDocument/2006/customXml" ds:itemID="{5FF43C7D-E598-4091-92FC-278032B0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3375</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Adler</dc:creator>
  <cp:keywords/>
  <dc:description/>
  <cp:lastModifiedBy>deBoinville, Amy</cp:lastModifiedBy>
  <cp:revision>2</cp:revision>
  <cp:lastPrinted>2019-07-24T21:00:00Z</cp:lastPrinted>
  <dcterms:created xsi:type="dcterms:W3CDTF">2020-07-02T05:33:00Z</dcterms:created>
  <dcterms:modified xsi:type="dcterms:W3CDTF">2020-07-02T05:33:00Z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0x010100F44AF1465758344D9599384FCE290BB1</vt:lpwstr>
  </property>
</Properties>
</file>