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3FB49" w14:textId="77777777" w:rsidR="00A93D57" w:rsidRDefault="005868BF">
      <w:pPr>
        <w:pStyle w:val="BodyText"/>
        <w:ind w:left="120"/>
        <w:rPr>
          <w:rFonts w:ascii="Times New Roman"/>
          <w:sz w:val="20"/>
        </w:rPr>
      </w:pPr>
      <w:r>
        <w:rPr>
          <w:rFonts w:ascii="Times New Roman"/>
          <w:noProof/>
          <w:sz w:val="20"/>
        </w:rPr>
        <w:drawing>
          <wp:inline distT="0" distB="0" distL="0" distR="0" wp14:anchorId="442F03C8" wp14:editId="5AB0E05A">
            <wp:extent cx="4214070" cy="44005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214070" cy="440054"/>
                    </a:xfrm>
                    <a:prstGeom prst="rect">
                      <a:avLst/>
                    </a:prstGeom>
                  </pic:spPr>
                </pic:pic>
              </a:graphicData>
            </a:graphic>
          </wp:inline>
        </w:drawing>
      </w:r>
    </w:p>
    <w:p w14:paraId="5FBC02CC" w14:textId="77777777" w:rsidR="00A93D57" w:rsidRDefault="00A93D57">
      <w:pPr>
        <w:pStyle w:val="BodyText"/>
        <w:rPr>
          <w:rFonts w:ascii="Times New Roman"/>
          <w:sz w:val="20"/>
        </w:rPr>
      </w:pPr>
    </w:p>
    <w:p w14:paraId="4AC43FCC" w14:textId="77777777" w:rsidR="00A93D57" w:rsidRDefault="00A93D57">
      <w:pPr>
        <w:pStyle w:val="BodyText"/>
        <w:rPr>
          <w:rFonts w:ascii="Times New Roman"/>
          <w:sz w:val="20"/>
        </w:rPr>
      </w:pPr>
    </w:p>
    <w:p w14:paraId="65D06054" w14:textId="77777777" w:rsidR="00A93D57" w:rsidRDefault="00A93D57">
      <w:pPr>
        <w:pStyle w:val="BodyText"/>
        <w:spacing w:before="4"/>
        <w:rPr>
          <w:rFonts w:ascii="Times New Roman"/>
          <w:sz w:val="26"/>
        </w:rPr>
      </w:pPr>
    </w:p>
    <w:p w14:paraId="060C73F3" w14:textId="77777777" w:rsidR="00A93D57" w:rsidRDefault="005868BF">
      <w:pPr>
        <w:pStyle w:val="Title"/>
      </w:pPr>
      <w:bookmarkStart w:id="0" w:name="Community_of_Practice_–_“Live”_Notes"/>
      <w:bookmarkEnd w:id="0"/>
      <w:r>
        <w:rPr>
          <w:color w:val="00396F"/>
        </w:rPr>
        <w:t>Community</w:t>
      </w:r>
      <w:r>
        <w:rPr>
          <w:color w:val="00396F"/>
          <w:spacing w:val="-2"/>
        </w:rPr>
        <w:t xml:space="preserve"> </w:t>
      </w:r>
      <w:r>
        <w:rPr>
          <w:color w:val="00396F"/>
        </w:rPr>
        <w:t>of</w:t>
      </w:r>
      <w:r>
        <w:rPr>
          <w:color w:val="00396F"/>
          <w:spacing w:val="-2"/>
        </w:rPr>
        <w:t xml:space="preserve"> </w:t>
      </w:r>
      <w:r>
        <w:rPr>
          <w:color w:val="00396F"/>
        </w:rPr>
        <w:t>Practice</w:t>
      </w:r>
      <w:r>
        <w:rPr>
          <w:color w:val="00396F"/>
          <w:spacing w:val="-1"/>
        </w:rPr>
        <w:t xml:space="preserve"> </w:t>
      </w:r>
      <w:r>
        <w:rPr>
          <w:color w:val="00396F"/>
        </w:rPr>
        <w:t>–</w:t>
      </w:r>
      <w:r>
        <w:rPr>
          <w:color w:val="00396F"/>
          <w:spacing w:val="-1"/>
        </w:rPr>
        <w:t xml:space="preserve"> </w:t>
      </w:r>
      <w:r>
        <w:rPr>
          <w:color w:val="00396F"/>
        </w:rPr>
        <w:t>“Live”</w:t>
      </w:r>
      <w:r>
        <w:rPr>
          <w:color w:val="00396F"/>
          <w:spacing w:val="-4"/>
        </w:rPr>
        <w:t xml:space="preserve"> </w:t>
      </w:r>
      <w:r>
        <w:rPr>
          <w:color w:val="00396F"/>
        </w:rPr>
        <w:t>Notes</w:t>
      </w:r>
    </w:p>
    <w:p w14:paraId="26C8E74D" w14:textId="53E36C73" w:rsidR="00A93D57" w:rsidRDefault="005868BF" w:rsidP="003E71BF">
      <w:pPr>
        <w:pStyle w:val="Heading3"/>
        <w:spacing w:before="184" w:line="372" w:lineRule="auto"/>
        <w:ind w:left="115" w:right="5699"/>
        <w:contextualSpacing/>
      </w:pPr>
      <w:r>
        <w:t xml:space="preserve">Topic: </w:t>
      </w:r>
      <w:r w:rsidR="00F07C59">
        <w:t xml:space="preserve">Where </w:t>
      </w:r>
      <w:r>
        <w:rPr>
          <w:spacing w:val="-47"/>
        </w:rPr>
        <w:t xml:space="preserve"> </w:t>
      </w:r>
      <w:r w:rsidR="00F07C59">
        <w:t>Do We “Grow” From Here?</w:t>
      </w:r>
    </w:p>
    <w:p w14:paraId="56C46506" w14:textId="1F826019" w:rsidR="003E71BF" w:rsidRDefault="003E71BF" w:rsidP="003E71BF">
      <w:pPr>
        <w:pStyle w:val="Heading3"/>
        <w:spacing w:before="184" w:line="372" w:lineRule="auto"/>
        <w:ind w:left="115" w:right="5699"/>
        <w:contextualSpacing/>
      </w:pPr>
      <w:r>
        <w:t xml:space="preserve">SME: Tonia Peterson, MA, LPC, CRC, OTR/L </w:t>
      </w:r>
    </w:p>
    <w:p w14:paraId="045E4D64" w14:textId="17F5FB05" w:rsidR="00A93D57" w:rsidRDefault="005868BF" w:rsidP="003E71BF">
      <w:pPr>
        <w:spacing w:line="266" w:lineRule="exact"/>
        <w:ind w:left="115"/>
        <w:contextualSpacing/>
        <w:rPr>
          <w:b/>
        </w:rPr>
      </w:pPr>
      <w:r>
        <w:rPr>
          <w:b/>
        </w:rPr>
        <w:t>Date:</w:t>
      </w:r>
      <w:r>
        <w:rPr>
          <w:b/>
          <w:spacing w:val="-2"/>
        </w:rPr>
        <w:t xml:space="preserve"> </w:t>
      </w:r>
      <w:r w:rsidR="00F07C59">
        <w:rPr>
          <w:b/>
        </w:rPr>
        <w:t>April 22</w:t>
      </w:r>
      <w:r>
        <w:rPr>
          <w:b/>
        </w:rPr>
        <w:t>,</w:t>
      </w:r>
      <w:r>
        <w:rPr>
          <w:b/>
          <w:spacing w:val="-2"/>
        </w:rPr>
        <w:t xml:space="preserve"> </w:t>
      </w:r>
      <w:r>
        <w:rPr>
          <w:b/>
        </w:rPr>
        <w:t>202</w:t>
      </w:r>
      <w:r w:rsidR="00F07C59">
        <w:rPr>
          <w:b/>
        </w:rPr>
        <w:t>1</w:t>
      </w:r>
    </w:p>
    <w:p w14:paraId="30CBB5B1" w14:textId="77777777" w:rsidR="00A93D57" w:rsidRDefault="00A93D57">
      <w:pPr>
        <w:pStyle w:val="BodyText"/>
        <w:spacing w:before="10"/>
        <w:rPr>
          <w:b/>
          <w:sz w:val="21"/>
        </w:rPr>
      </w:pPr>
    </w:p>
    <w:p w14:paraId="12062244" w14:textId="5BD45C98" w:rsidR="00A93D57" w:rsidRDefault="005868BF">
      <w:pPr>
        <w:pStyle w:val="BodyText"/>
        <w:spacing w:line="264" w:lineRule="auto"/>
        <w:ind w:left="120" w:right="824"/>
      </w:pPr>
      <w:r>
        <w:t xml:space="preserve">A “Welcome to RETAIN TA session” and introductions by RETAIN Participants started off the session. </w:t>
      </w:r>
      <w:r w:rsidR="00F07C59">
        <w:t>The</w:t>
      </w:r>
      <w:r w:rsidR="00447581">
        <w:t xml:space="preserve"> first discussion question of the </w:t>
      </w:r>
      <w:r w:rsidR="00F07C59">
        <w:t xml:space="preserve">CoP </w:t>
      </w:r>
      <w:r w:rsidR="00447581">
        <w:t>was</w:t>
      </w:r>
      <w:r w:rsidR="00F07C59">
        <w:t xml:space="preserve">: </w:t>
      </w:r>
    </w:p>
    <w:p w14:paraId="105D51D0" w14:textId="1244A690" w:rsidR="00A93D57" w:rsidRDefault="00A93D57">
      <w:pPr>
        <w:pStyle w:val="BodyText"/>
        <w:spacing w:before="8"/>
        <w:rPr>
          <w:sz w:val="19"/>
        </w:rPr>
      </w:pPr>
    </w:p>
    <w:p w14:paraId="6EB68FB7" w14:textId="375B0B82" w:rsidR="00447581" w:rsidRPr="00447581" w:rsidRDefault="00447581" w:rsidP="00447581">
      <w:pPr>
        <w:pStyle w:val="BodyText"/>
        <w:spacing w:before="8"/>
        <w:ind w:left="90"/>
        <w:rPr>
          <w:b/>
          <w:bCs/>
          <w:szCs w:val="28"/>
        </w:rPr>
      </w:pPr>
      <w:r w:rsidRPr="00447581">
        <w:rPr>
          <w:b/>
          <w:bCs/>
          <w:szCs w:val="28"/>
        </w:rPr>
        <w:t>What’s Your Definition of Success?</w:t>
      </w:r>
    </w:p>
    <w:p w14:paraId="58BF74A3" w14:textId="4131A3A2" w:rsidR="00F07C59" w:rsidRDefault="00F07C59">
      <w:pPr>
        <w:pStyle w:val="BodyText"/>
        <w:spacing w:before="10"/>
        <w:rPr>
          <w:b/>
          <w:sz w:val="19"/>
        </w:rPr>
      </w:pPr>
    </w:p>
    <w:p w14:paraId="489777A0" w14:textId="5F8150E0" w:rsidR="00A93D57" w:rsidRDefault="005868BF">
      <w:pPr>
        <w:pStyle w:val="Heading1"/>
      </w:pPr>
      <w:bookmarkStart w:id="1" w:name="RETAIN_participants_responded_to_the_que"/>
      <w:bookmarkStart w:id="2" w:name="_Hlk71282016"/>
      <w:bookmarkStart w:id="3" w:name="_Hlk71292672"/>
      <w:bookmarkEnd w:id="1"/>
      <w:r>
        <w:rPr>
          <w:color w:val="00396F"/>
        </w:rPr>
        <w:t>RETAIN</w:t>
      </w:r>
      <w:r>
        <w:rPr>
          <w:color w:val="00396F"/>
          <w:spacing w:val="-3"/>
        </w:rPr>
        <w:t xml:space="preserve"> </w:t>
      </w:r>
      <w:r>
        <w:rPr>
          <w:color w:val="00396F"/>
        </w:rPr>
        <w:t>participants</w:t>
      </w:r>
      <w:r>
        <w:rPr>
          <w:color w:val="00396F"/>
          <w:spacing w:val="-2"/>
        </w:rPr>
        <w:t xml:space="preserve"> </w:t>
      </w:r>
      <w:r>
        <w:rPr>
          <w:color w:val="00396F"/>
        </w:rPr>
        <w:t>responded</w:t>
      </w:r>
      <w:r>
        <w:rPr>
          <w:color w:val="00396F"/>
          <w:spacing w:val="-4"/>
        </w:rPr>
        <w:t xml:space="preserve"> </w:t>
      </w:r>
      <w:r w:rsidR="00F07C59">
        <w:rPr>
          <w:color w:val="00396F"/>
        </w:rPr>
        <w:t>to the question as follows</w:t>
      </w:r>
      <w:r>
        <w:rPr>
          <w:color w:val="00396F"/>
        </w:rPr>
        <w:t>:</w:t>
      </w:r>
      <w:r w:rsidR="0078587D" w:rsidRPr="0078587D">
        <w:t xml:space="preserve"> </w:t>
      </w:r>
    </w:p>
    <w:bookmarkEnd w:id="2"/>
    <w:p w14:paraId="74962334" w14:textId="77777777" w:rsidR="00A93D57" w:rsidRDefault="00A93D57">
      <w:pPr>
        <w:pStyle w:val="BodyText"/>
        <w:spacing w:before="4"/>
        <w:rPr>
          <w:sz w:val="20"/>
        </w:rPr>
      </w:pPr>
    </w:p>
    <w:bookmarkEnd w:id="3"/>
    <w:p w14:paraId="09B51B92" w14:textId="0CB18B8B" w:rsidR="00447581" w:rsidRDefault="00447581">
      <w:pPr>
        <w:pStyle w:val="ListParagraph"/>
        <w:numPr>
          <w:ilvl w:val="0"/>
          <w:numId w:val="1"/>
        </w:numPr>
        <w:tabs>
          <w:tab w:val="left" w:pos="479"/>
          <w:tab w:val="left" w:pos="480"/>
        </w:tabs>
        <w:spacing w:line="264" w:lineRule="auto"/>
        <w:ind w:right="176"/>
        <w:rPr>
          <w:sz w:val="23"/>
        </w:rPr>
      </w:pPr>
      <w:r>
        <w:rPr>
          <w:sz w:val="23"/>
        </w:rPr>
        <w:t>One participant answered, ‘i</w:t>
      </w:r>
      <w:r w:rsidRPr="00447581">
        <w:rPr>
          <w:sz w:val="23"/>
        </w:rPr>
        <w:t>mprovement of life</w:t>
      </w:r>
      <w:r>
        <w:rPr>
          <w:sz w:val="23"/>
        </w:rPr>
        <w:t>.’ Another participant stated, ‘a</w:t>
      </w:r>
      <w:r w:rsidRPr="00447581">
        <w:rPr>
          <w:sz w:val="23"/>
        </w:rPr>
        <w:t xml:space="preserve"> sustainable program with processes that makes sense</w:t>
      </w:r>
      <w:r>
        <w:rPr>
          <w:sz w:val="23"/>
        </w:rPr>
        <w:t xml:space="preserve">.’ A third participant shared, ‘successfully </w:t>
      </w:r>
      <w:r w:rsidRPr="00447581">
        <w:rPr>
          <w:sz w:val="23"/>
        </w:rPr>
        <w:t xml:space="preserve">providing supports to </w:t>
      </w:r>
      <w:r w:rsidR="003E71BF">
        <w:rPr>
          <w:sz w:val="23"/>
        </w:rPr>
        <w:t>individuals</w:t>
      </w:r>
      <w:r w:rsidRPr="00447581">
        <w:rPr>
          <w:sz w:val="23"/>
        </w:rPr>
        <w:t xml:space="preserve"> to help them return to work</w:t>
      </w:r>
      <w:r>
        <w:rPr>
          <w:sz w:val="23"/>
        </w:rPr>
        <w:t xml:space="preserve">.’ </w:t>
      </w:r>
      <w:r w:rsidR="003E71BF">
        <w:rPr>
          <w:sz w:val="23"/>
        </w:rPr>
        <w:t xml:space="preserve">One participant stated that she felt it is important for RETAIN participants to feel fulfilled and being able to get them on the path they need to be on, even if that does not mean return to work. Another participant shared that she believes success is dependent on the individual person and how the idea of success can change over time. This same participant also stated that confidence plays a role is success as well. </w:t>
      </w:r>
    </w:p>
    <w:p w14:paraId="00CFD894" w14:textId="77777777" w:rsidR="0078587D" w:rsidRPr="0078587D" w:rsidRDefault="0078587D" w:rsidP="006A7710">
      <w:pPr>
        <w:tabs>
          <w:tab w:val="left" w:pos="479"/>
          <w:tab w:val="left" w:pos="480"/>
        </w:tabs>
        <w:spacing w:line="264" w:lineRule="auto"/>
        <w:ind w:right="176"/>
        <w:rPr>
          <w:sz w:val="23"/>
        </w:rPr>
      </w:pPr>
    </w:p>
    <w:p w14:paraId="1BBADF55" w14:textId="5F49CC58" w:rsidR="0078587D" w:rsidRPr="006A7710" w:rsidRDefault="0078587D">
      <w:pPr>
        <w:pStyle w:val="ListParagraph"/>
        <w:numPr>
          <w:ilvl w:val="0"/>
          <w:numId w:val="1"/>
        </w:numPr>
        <w:tabs>
          <w:tab w:val="left" w:pos="479"/>
          <w:tab w:val="left" w:pos="480"/>
        </w:tabs>
        <w:spacing w:line="264" w:lineRule="auto"/>
        <w:ind w:right="176"/>
        <w:rPr>
          <w:sz w:val="23"/>
        </w:rPr>
      </w:pPr>
      <w:bookmarkStart w:id="4" w:name="_Hlk71294007"/>
      <w:r w:rsidRPr="006A7710">
        <w:rPr>
          <w:sz w:val="23"/>
        </w:rPr>
        <w:t xml:space="preserve">RETAIN SME, Tonia Peterson shared that she was glad participants shared their responses and that </w:t>
      </w:r>
      <w:r w:rsidR="006A7710" w:rsidRPr="006A7710">
        <w:rPr>
          <w:sz w:val="23"/>
        </w:rPr>
        <w:t xml:space="preserve">she chose today’s topic </w:t>
      </w:r>
      <w:r w:rsidR="006A7710">
        <w:rPr>
          <w:sz w:val="23"/>
        </w:rPr>
        <w:t xml:space="preserve">because success is like planting seeds. For some, success may be like tulips where you see results more quickly, where for others it is more like trees and may take a while.  </w:t>
      </w:r>
      <w:bookmarkEnd w:id="4"/>
    </w:p>
    <w:p w14:paraId="0CA2B35B" w14:textId="21537CA3" w:rsidR="006A7710" w:rsidRDefault="006A7710" w:rsidP="006A7710">
      <w:pPr>
        <w:tabs>
          <w:tab w:val="left" w:pos="479"/>
          <w:tab w:val="left" w:pos="480"/>
        </w:tabs>
        <w:spacing w:line="264" w:lineRule="auto"/>
        <w:ind w:right="176"/>
        <w:rPr>
          <w:color w:val="00396F"/>
          <w:sz w:val="23"/>
        </w:rPr>
      </w:pPr>
    </w:p>
    <w:p w14:paraId="1AE13C6E" w14:textId="22D7313C" w:rsidR="006A7710" w:rsidRDefault="00EB626E" w:rsidP="00EB626E">
      <w:pPr>
        <w:tabs>
          <w:tab w:val="left" w:pos="479"/>
          <w:tab w:val="left" w:pos="480"/>
        </w:tabs>
        <w:spacing w:line="264" w:lineRule="auto"/>
        <w:ind w:left="90" w:right="176"/>
        <w:rPr>
          <w:sz w:val="23"/>
        </w:rPr>
      </w:pPr>
      <w:r w:rsidRPr="00EB626E">
        <w:rPr>
          <w:sz w:val="23"/>
        </w:rPr>
        <w:t xml:space="preserve">The </w:t>
      </w:r>
      <w:r>
        <w:rPr>
          <w:sz w:val="23"/>
        </w:rPr>
        <w:t xml:space="preserve">second </w:t>
      </w:r>
      <w:r w:rsidRPr="00EB626E">
        <w:rPr>
          <w:sz w:val="23"/>
        </w:rPr>
        <w:t>discussion question of the CoP was</w:t>
      </w:r>
      <w:r w:rsidR="00A158D0">
        <w:rPr>
          <w:sz w:val="23"/>
        </w:rPr>
        <w:t>:</w:t>
      </w:r>
    </w:p>
    <w:p w14:paraId="7051D4A8" w14:textId="0E581D4E" w:rsidR="00A158D0" w:rsidRDefault="00A158D0" w:rsidP="00EB626E">
      <w:pPr>
        <w:tabs>
          <w:tab w:val="left" w:pos="479"/>
          <w:tab w:val="left" w:pos="480"/>
        </w:tabs>
        <w:spacing w:line="264" w:lineRule="auto"/>
        <w:ind w:left="90" w:right="176"/>
        <w:rPr>
          <w:sz w:val="23"/>
        </w:rPr>
      </w:pPr>
    </w:p>
    <w:p w14:paraId="03111C30" w14:textId="220972A5" w:rsidR="00EB626E" w:rsidRDefault="0060757F" w:rsidP="0060757F">
      <w:pPr>
        <w:tabs>
          <w:tab w:val="left" w:pos="479"/>
          <w:tab w:val="left" w:pos="480"/>
        </w:tabs>
        <w:spacing w:line="264" w:lineRule="auto"/>
        <w:ind w:left="90" w:right="176"/>
        <w:rPr>
          <w:b/>
          <w:bCs/>
          <w:sz w:val="23"/>
        </w:rPr>
      </w:pPr>
      <w:r w:rsidRPr="0060757F">
        <w:rPr>
          <w:b/>
          <w:bCs/>
          <w:sz w:val="23"/>
        </w:rPr>
        <w:t>How Would You Define Your Role?</w:t>
      </w:r>
    </w:p>
    <w:p w14:paraId="5F7FF948" w14:textId="4B8B3B16" w:rsidR="0060757F" w:rsidRDefault="0060757F" w:rsidP="0060757F">
      <w:pPr>
        <w:tabs>
          <w:tab w:val="left" w:pos="479"/>
          <w:tab w:val="left" w:pos="480"/>
        </w:tabs>
        <w:spacing w:line="264" w:lineRule="auto"/>
        <w:ind w:left="90" w:right="176"/>
        <w:rPr>
          <w:b/>
          <w:bCs/>
          <w:sz w:val="23"/>
        </w:rPr>
      </w:pPr>
      <w:bookmarkStart w:id="5" w:name="_Hlk71296783"/>
    </w:p>
    <w:p w14:paraId="3300EA2D" w14:textId="77777777" w:rsidR="0060757F" w:rsidRDefault="0060757F" w:rsidP="0060757F">
      <w:pPr>
        <w:pStyle w:val="Heading1"/>
      </w:pPr>
      <w:bookmarkStart w:id="6" w:name="_Hlk71296753"/>
      <w:r>
        <w:rPr>
          <w:color w:val="00396F"/>
        </w:rPr>
        <w:t>RETAIN</w:t>
      </w:r>
      <w:r>
        <w:rPr>
          <w:color w:val="00396F"/>
          <w:spacing w:val="-3"/>
        </w:rPr>
        <w:t xml:space="preserve"> </w:t>
      </w:r>
      <w:r>
        <w:rPr>
          <w:color w:val="00396F"/>
        </w:rPr>
        <w:t>participants</w:t>
      </w:r>
      <w:r>
        <w:rPr>
          <w:color w:val="00396F"/>
          <w:spacing w:val="-2"/>
        </w:rPr>
        <w:t xml:space="preserve"> </w:t>
      </w:r>
      <w:r>
        <w:rPr>
          <w:color w:val="00396F"/>
        </w:rPr>
        <w:t>responded</w:t>
      </w:r>
      <w:r>
        <w:rPr>
          <w:color w:val="00396F"/>
          <w:spacing w:val="-4"/>
        </w:rPr>
        <w:t xml:space="preserve"> </w:t>
      </w:r>
      <w:r>
        <w:rPr>
          <w:color w:val="00396F"/>
        </w:rPr>
        <w:t>to the question as follows</w:t>
      </w:r>
      <w:bookmarkEnd w:id="6"/>
      <w:r>
        <w:rPr>
          <w:color w:val="00396F"/>
        </w:rPr>
        <w:t>:</w:t>
      </w:r>
      <w:r w:rsidRPr="0078587D">
        <w:t xml:space="preserve"> </w:t>
      </w:r>
    </w:p>
    <w:bookmarkEnd w:id="5"/>
    <w:p w14:paraId="662B9E1E" w14:textId="77777777" w:rsidR="0060757F" w:rsidRPr="0060757F" w:rsidRDefault="0060757F" w:rsidP="0081515E">
      <w:pPr>
        <w:tabs>
          <w:tab w:val="left" w:pos="479"/>
          <w:tab w:val="left" w:pos="480"/>
        </w:tabs>
        <w:spacing w:line="264" w:lineRule="auto"/>
        <w:ind w:right="176"/>
        <w:rPr>
          <w:b/>
          <w:bCs/>
          <w:sz w:val="23"/>
        </w:rPr>
      </w:pPr>
    </w:p>
    <w:p w14:paraId="60EB9CFF" w14:textId="15295D85" w:rsidR="0060757F" w:rsidRDefault="0060757F">
      <w:pPr>
        <w:pStyle w:val="ListParagraph"/>
        <w:numPr>
          <w:ilvl w:val="0"/>
          <w:numId w:val="1"/>
        </w:numPr>
        <w:tabs>
          <w:tab w:val="left" w:pos="479"/>
          <w:tab w:val="left" w:pos="480"/>
        </w:tabs>
        <w:spacing w:line="264" w:lineRule="auto"/>
        <w:ind w:right="176"/>
        <w:rPr>
          <w:sz w:val="23"/>
        </w:rPr>
      </w:pPr>
      <w:r w:rsidRPr="0081515E">
        <w:rPr>
          <w:sz w:val="23"/>
        </w:rPr>
        <w:t xml:space="preserve">One participant answered </w:t>
      </w:r>
      <w:r w:rsidR="0081515E">
        <w:rPr>
          <w:sz w:val="23"/>
        </w:rPr>
        <w:t xml:space="preserve">that she was responsible for collecting all the data then communicating it in a way that tells a story, especially for legislators, the public, and the higher ups in state administration.   She said it is important for the story to get told in the way it needs to </w:t>
      </w:r>
      <w:r w:rsidR="002818C0">
        <w:rPr>
          <w:sz w:val="23"/>
        </w:rPr>
        <w:t>be</w:t>
      </w:r>
      <w:r w:rsidR="0081515E">
        <w:rPr>
          <w:sz w:val="23"/>
        </w:rPr>
        <w:t xml:space="preserve"> told. Another participant stated that she was the recruiter for all the patient providers and employers, and a motivator in terms of keeping the team going to reach their target population. She also </w:t>
      </w:r>
      <w:r w:rsidR="002818C0">
        <w:rPr>
          <w:sz w:val="23"/>
        </w:rPr>
        <w:t>said</w:t>
      </w:r>
      <w:r w:rsidR="0081515E">
        <w:rPr>
          <w:sz w:val="23"/>
        </w:rPr>
        <w:t xml:space="preserve"> she need</w:t>
      </w:r>
      <w:r w:rsidR="004B3810">
        <w:rPr>
          <w:sz w:val="23"/>
        </w:rPr>
        <w:t>s</w:t>
      </w:r>
      <w:r w:rsidR="0081515E">
        <w:rPr>
          <w:sz w:val="23"/>
        </w:rPr>
        <w:t xml:space="preserve"> to be able to explain to patients what their role in the study will be as well as educate </w:t>
      </w:r>
      <w:r w:rsidR="0081515E" w:rsidRPr="0081515E">
        <w:rPr>
          <w:sz w:val="23"/>
        </w:rPr>
        <w:t>the providers and the employers that are going to be participating</w:t>
      </w:r>
      <w:r w:rsidR="0081515E">
        <w:rPr>
          <w:sz w:val="23"/>
        </w:rPr>
        <w:t>.</w:t>
      </w:r>
      <w:r w:rsidR="004B3810">
        <w:rPr>
          <w:sz w:val="23"/>
        </w:rPr>
        <w:t xml:space="preserve"> A third participant shared that their team helps motivate each other and that they are all different pieces of </w:t>
      </w:r>
      <w:r w:rsidR="002818C0">
        <w:rPr>
          <w:sz w:val="23"/>
        </w:rPr>
        <w:t xml:space="preserve">a </w:t>
      </w:r>
      <w:r w:rsidR="004B3810">
        <w:rPr>
          <w:sz w:val="23"/>
        </w:rPr>
        <w:t xml:space="preserve">puzzle. Her team is composed of individuals with different disciplines and rely on each other to find answers to different problems. She said by reaching out to one another, and by having the confidence to say I </w:t>
      </w:r>
      <w:r w:rsidR="002818C0">
        <w:rPr>
          <w:sz w:val="23"/>
        </w:rPr>
        <w:t>do not</w:t>
      </w:r>
      <w:r w:rsidR="004B3810">
        <w:rPr>
          <w:sz w:val="23"/>
        </w:rPr>
        <w:t xml:space="preserve"> have the answers, it helps her team </w:t>
      </w:r>
      <w:r w:rsidR="004B3810">
        <w:rPr>
          <w:sz w:val="23"/>
        </w:rPr>
        <w:lastRenderedPageBreak/>
        <w:t xml:space="preserve">grow and to learn from the people around </w:t>
      </w:r>
      <w:r w:rsidR="002818C0">
        <w:rPr>
          <w:sz w:val="23"/>
        </w:rPr>
        <w:t>them</w:t>
      </w:r>
      <w:r w:rsidR="004B3810">
        <w:rPr>
          <w:sz w:val="23"/>
        </w:rPr>
        <w:t xml:space="preserve">. Another participant shared that he works on the employer side of things. He said does not feel like he needs to know everything, but rather knowing enough to help define the role of </w:t>
      </w:r>
      <w:r w:rsidR="00AB65FD">
        <w:rPr>
          <w:sz w:val="23"/>
        </w:rPr>
        <w:t>those involved in the study</w:t>
      </w:r>
      <w:r w:rsidR="004B3810">
        <w:rPr>
          <w:sz w:val="23"/>
        </w:rPr>
        <w:t xml:space="preserve">. </w:t>
      </w:r>
    </w:p>
    <w:p w14:paraId="48C08C69" w14:textId="77777777" w:rsidR="003E63DF" w:rsidRDefault="003E63DF" w:rsidP="003E63DF">
      <w:pPr>
        <w:pStyle w:val="ListParagraph"/>
        <w:tabs>
          <w:tab w:val="left" w:pos="479"/>
          <w:tab w:val="left" w:pos="480"/>
        </w:tabs>
        <w:spacing w:line="264" w:lineRule="auto"/>
        <w:ind w:right="176" w:firstLine="0"/>
        <w:rPr>
          <w:sz w:val="23"/>
        </w:rPr>
      </w:pPr>
    </w:p>
    <w:p w14:paraId="5158EB16" w14:textId="04D8E968" w:rsidR="00552F7D" w:rsidRDefault="003E63DF">
      <w:pPr>
        <w:pStyle w:val="ListParagraph"/>
        <w:numPr>
          <w:ilvl w:val="0"/>
          <w:numId w:val="1"/>
        </w:numPr>
        <w:tabs>
          <w:tab w:val="left" w:pos="479"/>
          <w:tab w:val="left" w:pos="480"/>
        </w:tabs>
        <w:spacing w:line="264" w:lineRule="auto"/>
        <w:ind w:right="176"/>
        <w:rPr>
          <w:sz w:val="23"/>
        </w:rPr>
      </w:pPr>
      <w:bookmarkStart w:id="7" w:name="_Hlk71536183"/>
      <w:r w:rsidRPr="003E63DF">
        <w:rPr>
          <w:sz w:val="23"/>
        </w:rPr>
        <w:t xml:space="preserve">RETAIN SME, Tonia Peterson shared that </w:t>
      </w:r>
      <w:r>
        <w:rPr>
          <w:sz w:val="23"/>
        </w:rPr>
        <w:t>a lot of these roles seem to require a translation of information and that is important to know when there is a missing piece in that translation</w:t>
      </w:r>
      <w:r w:rsidR="009A4BEB">
        <w:rPr>
          <w:sz w:val="23"/>
        </w:rPr>
        <w:t xml:space="preserve"> and being able to identify that missing piece and bring it your team to keep things moving. </w:t>
      </w:r>
    </w:p>
    <w:bookmarkEnd w:id="7"/>
    <w:p w14:paraId="5B3F79F7" w14:textId="77777777" w:rsidR="00552F7D" w:rsidRPr="00552F7D" w:rsidRDefault="00552F7D" w:rsidP="00552F7D">
      <w:pPr>
        <w:pStyle w:val="ListParagraph"/>
        <w:rPr>
          <w:sz w:val="23"/>
        </w:rPr>
      </w:pPr>
    </w:p>
    <w:p w14:paraId="06240446" w14:textId="6BACCCA3" w:rsidR="003E63DF" w:rsidRDefault="00552F7D" w:rsidP="00552F7D">
      <w:pPr>
        <w:tabs>
          <w:tab w:val="left" w:pos="479"/>
          <w:tab w:val="left" w:pos="480"/>
        </w:tabs>
        <w:spacing w:line="264" w:lineRule="auto"/>
        <w:ind w:right="176"/>
        <w:rPr>
          <w:sz w:val="23"/>
        </w:rPr>
      </w:pPr>
      <w:r>
        <w:rPr>
          <w:sz w:val="23"/>
        </w:rPr>
        <w:t xml:space="preserve">RETAIN SME, </w:t>
      </w:r>
      <w:r w:rsidR="004F170F" w:rsidRPr="00552F7D">
        <w:rPr>
          <w:sz w:val="23"/>
        </w:rPr>
        <w:t>Tonia</w:t>
      </w:r>
      <w:r>
        <w:rPr>
          <w:sz w:val="23"/>
        </w:rPr>
        <w:t xml:space="preserve"> Peterson </w:t>
      </w:r>
      <w:r w:rsidR="004F170F" w:rsidRPr="00552F7D">
        <w:rPr>
          <w:sz w:val="23"/>
        </w:rPr>
        <w:t xml:space="preserve">then shared </w:t>
      </w:r>
      <w:r w:rsidR="00206279" w:rsidRPr="00552F7D">
        <w:rPr>
          <w:sz w:val="23"/>
        </w:rPr>
        <w:t xml:space="preserve">she </w:t>
      </w:r>
      <w:r w:rsidRPr="00552F7D">
        <w:rPr>
          <w:sz w:val="23"/>
        </w:rPr>
        <w:t xml:space="preserve">once </w:t>
      </w:r>
      <w:r w:rsidR="00206279" w:rsidRPr="00552F7D">
        <w:rPr>
          <w:sz w:val="23"/>
        </w:rPr>
        <w:t xml:space="preserve">had a case that ended up different from her expectations, but </w:t>
      </w:r>
      <w:r w:rsidRPr="00552F7D">
        <w:rPr>
          <w:sz w:val="23"/>
        </w:rPr>
        <w:t>nevertheless learned a lot from it</w:t>
      </w:r>
      <w:r>
        <w:rPr>
          <w:sz w:val="23"/>
        </w:rPr>
        <w:t xml:space="preserve">. She asked participants to share their own experience with SAW/RTW cases that ended up differently than expected, but good learning experiences. </w:t>
      </w:r>
      <w:r w:rsidRPr="00552F7D">
        <w:rPr>
          <w:sz w:val="23"/>
        </w:rPr>
        <w:t xml:space="preserve"> </w:t>
      </w:r>
      <w:r w:rsidR="00206279" w:rsidRPr="00552F7D">
        <w:rPr>
          <w:sz w:val="23"/>
        </w:rPr>
        <w:t xml:space="preserve"> </w:t>
      </w:r>
    </w:p>
    <w:p w14:paraId="5F337D47" w14:textId="5559F491" w:rsidR="00552F7D" w:rsidRDefault="00552F7D" w:rsidP="00552F7D">
      <w:pPr>
        <w:tabs>
          <w:tab w:val="left" w:pos="479"/>
          <w:tab w:val="left" w:pos="480"/>
        </w:tabs>
        <w:spacing w:line="264" w:lineRule="auto"/>
        <w:ind w:right="176"/>
        <w:rPr>
          <w:sz w:val="23"/>
        </w:rPr>
      </w:pPr>
    </w:p>
    <w:p w14:paraId="77084E77" w14:textId="11D235F0" w:rsidR="00552F7D" w:rsidRPr="00552F7D" w:rsidRDefault="00552F7D" w:rsidP="00552F7D">
      <w:pPr>
        <w:tabs>
          <w:tab w:val="left" w:pos="479"/>
          <w:tab w:val="left" w:pos="480"/>
        </w:tabs>
        <w:spacing w:line="264" w:lineRule="auto"/>
        <w:ind w:right="176"/>
        <w:rPr>
          <w:b/>
          <w:bCs/>
          <w:sz w:val="23"/>
        </w:rPr>
      </w:pPr>
      <w:r w:rsidRPr="00552F7D">
        <w:rPr>
          <w:b/>
          <w:bCs/>
          <w:sz w:val="23"/>
        </w:rPr>
        <w:t>Case Sharing: What Have You Learned?</w:t>
      </w:r>
    </w:p>
    <w:p w14:paraId="125093B0" w14:textId="77777777" w:rsidR="00552F7D" w:rsidRDefault="00552F7D" w:rsidP="00552F7D">
      <w:pPr>
        <w:tabs>
          <w:tab w:val="left" w:pos="479"/>
          <w:tab w:val="left" w:pos="480"/>
        </w:tabs>
        <w:spacing w:line="264" w:lineRule="auto"/>
        <w:ind w:right="176"/>
        <w:rPr>
          <w:b/>
          <w:bCs/>
          <w:sz w:val="23"/>
        </w:rPr>
      </w:pPr>
    </w:p>
    <w:p w14:paraId="383E83B5" w14:textId="17B6442E" w:rsidR="00552F7D" w:rsidRDefault="00552F7D" w:rsidP="00552F7D">
      <w:pPr>
        <w:pStyle w:val="Heading1"/>
        <w:ind w:left="0"/>
      </w:pPr>
      <w:r>
        <w:rPr>
          <w:color w:val="00396F"/>
        </w:rPr>
        <w:t>RETAIN</w:t>
      </w:r>
      <w:r>
        <w:rPr>
          <w:color w:val="00396F"/>
          <w:spacing w:val="-3"/>
        </w:rPr>
        <w:t xml:space="preserve"> </w:t>
      </w:r>
      <w:r>
        <w:rPr>
          <w:color w:val="00396F"/>
        </w:rPr>
        <w:t>participants</w:t>
      </w:r>
      <w:r>
        <w:rPr>
          <w:color w:val="00396F"/>
          <w:spacing w:val="-2"/>
        </w:rPr>
        <w:t xml:space="preserve"> </w:t>
      </w:r>
      <w:r>
        <w:rPr>
          <w:color w:val="00396F"/>
        </w:rPr>
        <w:t>shared the following:</w:t>
      </w:r>
      <w:r w:rsidRPr="0078587D">
        <w:t xml:space="preserve"> </w:t>
      </w:r>
    </w:p>
    <w:p w14:paraId="1684FAC8" w14:textId="6147ADFF" w:rsidR="009A75E1" w:rsidRDefault="009A75E1" w:rsidP="00552F7D">
      <w:pPr>
        <w:pStyle w:val="Heading1"/>
        <w:ind w:left="0"/>
      </w:pPr>
    </w:p>
    <w:p w14:paraId="75422393" w14:textId="238EC36F" w:rsidR="00194143" w:rsidRPr="00194143" w:rsidRDefault="009A75E1" w:rsidP="004D3F90">
      <w:pPr>
        <w:pStyle w:val="ListParagraph"/>
        <w:numPr>
          <w:ilvl w:val="0"/>
          <w:numId w:val="1"/>
        </w:numPr>
        <w:tabs>
          <w:tab w:val="left" w:pos="479"/>
          <w:tab w:val="left" w:pos="480"/>
        </w:tabs>
        <w:spacing w:line="264" w:lineRule="auto"/>
        <w:ind w:left="450" w:right="176"/>
      </w:pPr>
      <w:r w:rsidRPr="009A75E1">
        <w:rPr>
          <w:sz w:val="23"/>
        </w:rPr>
        <w:t>One participant shared a case in which a correctional officer, with history of anger issues, worked at a supermax prison. This correctional officer had a hard time with other co-workers</w:t>
      </w:r>
      <w:r>
        <w:rPr>
          <w:sz w:val="23"/>
        </w:rPr>
        <w:t xml:space="preserve"> due to the stressful work environment. This correctional officer really wanted to be a police officer, which was unrealistic given the individual</w:t>
      </w:r>
      <w:r w:rsidR="00B70D03">
        <w:rPr>
          <w:sz w:val="23"/>
        </w:rPr>
        <w:t>’</w:t>
      </w:r>
      <w:r>
        <w:rPr>
          <w:sz w:val="23"/>
        </w:rPr>
        <w:t>s anger issues. After months of job searches, the individual found a new position at a minimum-security prison, which ha</w:t>
      </w:r>
      <w:r w:rsidR="002818C0">
        <w:rPr>
          <w:sz w:val="23"/>
        </w:rPr>
        <w:t>d</w:t>
      </w:r>
      <w:r>
        <w:rPr>
          <w:sz w:val="23"/>
        </w:rPr>
        <w:t xml:space="preserve"> a less stressful work environment, </w:t>
      </w:r>
      <w:r w:rsidR="00B70D03">
        <w:rPr>
          <w:sz w:val="23"/>
        </w:rPr>
        <w:t>making it a</w:t>
      </w:r>
      <w:r>
        <w:rPr>
          <w:sz w:val="23"/>
        </w:rPr>
        <w:t xml:space="preserve"> better fit. </w:t>
      </w:r>
      <w:r w:rsidR="00B70D03">
        <w:rPr>
          <w:sz w:val="23"/>
        </w:rPr>
        <w:t xml:space="preserve">The position at the </w:t>
      </w:r>
      <w:r w:rsidR="00B70D03" w:rsidRPr="00B70D03">
        <w:rPr>
          <w:sz w:val="23"/>
        </w:rPr>
        <w:t>minimum-security prison</w:t>
      </w:r>
      <w:r w:rsidR="00B70D03">
        <w:rPr>
          <w:sz w:val="23"/>
        </w:rPr>
        <w:t xml:space="preserve"> also came with a comparable wage. The participant stated she was surprised that the individual still wanted to be a correctional officer</w:t>
      </w:r>
      <w:r w:rsidR="002818C0">
        <w:rPr>
          <w:sz w:val="23"/>
        </w:rPr>
        <w:t xml:space="preserve"> after all the talk about wanting to be a </w:t>
      </w:r>
      <w:proofErr w:type="gramStart"/>
      <w:r w:rsidR="002818C0">
        <w:rPr>
          <w:sz w:val="23"/>
        </w:rPr>
        <w:t>police</w:t>
      </w:r>
      <w:proofErr w:type="gramEnd"/>
      <w:r w:rsidR="002818C0">
        <w:rPr>
          <w:sz w:val="23"/>
        </w:rPr>
        <w:t xml:space="preserve"> officer</w:t>
      </w:r>
      <w:r w:rsidR="00B70D03">
        <w:rPr>
          <w:sz w:val="23"/>
        </w:rPr>
        <w:t xml:space="preserve">, but was happy with the way it turned out. </w:t>
      </w:r>
      <w:r w:rsidR="00EE22D9">
        <w:rPr>
          <w:sz w:val="23"/>
        </w:rPr>
        <w:t>In addition, the participant stated having those tough conversation about what a worker may o</w:t>
      </w:r>
      <w:r w:rsidR="001A5A79">
        <w:rPr>
          <w:sz w:val="23"/>
        </w:rPr>
        <w:t>r</w:t>
      </w:r>
      <w:r w:rsidR="00EE22D9">
        <w:rPr>
          <w:sz w:val="23"/>
        </w:rPr>
        <w:t xml:space="preserve"> may not be cut out for is an important skill. </w:t>
      </w:r>
    </w:p>
    <w:p w14:paraId="446364A9" w14:textId="77777777" w:rsidR="00552F7D" w:rsidRDefault="00552F7D">
      <w:pPr>
        <w:spacing w:line="264" w:lineRule="auto"/>
      </w:pPr>
    </w:p>
    <w:p w14:paraId="0EA6F7A8" w14:textId="6E06D42A" w:rsidR="00194143" w:rsidRDefault="00194143" w:rsidP="00194143">
      <w:pPr>
        <w:pStyle w:val="Heading1"/>
        <w:ind w:left="0"/>
      </w:pPr>
      <w:bookmarkStart w:id="8" w:name="_Hlk71549918"/>
      <w:bookmarkStart w:id="9" w:name="_Hlk71549934"/>
      <w:r>
        <w:rPr>
          <w:color w:val="00396F"/>
        </w:rPr>
        <w:t>RETAIN</w:t>
      </w:r>
      <w:r>
        <w:rPr>
          <w:color w:val="00396F"/>
          <w:spacing w:val="-3"/>
        </w:rPr>
        <w:t xml:space="preserve"> SME, Tonia Peterson: </w:t>
      </w:r>
      <w:r>
        <w:rPr>
          <w:color w:val="00396F"/>
        </w:rPr>
        <w:t>What Did I Learn that Affects How I look at SAW/RTW Cases?</w:t>
      </w:r>
      <w:bookmarkEnd w:id="8"/>
      <w:r>
        <w:rPr>
          <w:color w:val="00396F"/>
        </w:rPr>
        <w:t xml:space="preserve"> </w:t>
      </w:r>
      <w:r w:rsidRPr="0078587D">
        <w:t xml:space="preserve"> </w:t>
      </w:r>
    </w:p>
    <w:p w14:paraId="3AEADE1E" w14:textId="5F57F885" w:rsidR="00194143" w:rsidRDefault="00194143" w:rsidP="00194143">
      <w:pPr>
        <w:pStyle w:val="Heading1"/>
        <w:ind w:left="0"/>
      </w:pPr>
    </w:p>
    <w:bookmarkEnd w:id="9"/>
    <w:p w14:paraId="1C525F20" w14:textId="38156624" w:rsidR="001E710F" w:rsidRPr="001E710F" w:rsidRDefault="00194143" w:rsidP="004155AC">
      <w:pPr>
        <w:pStyle w:val="ListParagraph"/>
        <w:numPr>
          <w:ilvl w:val="0"/>
          <w:numId w:val="5"/>
        </w:numPr>
        <w:tabs>
          <w:tab w:val="left" w:pos="479"/>
          <w:tab w:val="left" w:pos="480"/>
        </w:tabs>
        <w:spacing w:line="264" w:lineRule="auto"/>
        <w:ind w:left="450" w:right="176"/>
      </w:pPr>
      <w:r w:rsidRPr="00194143">
        <w:rPr>
          <w:sz w:val="23"/>
        </w:rPr>
        <w:t xml:space="preserve">RETAIN SME, Tonia Peterson then shared another case in which a manager with a history of MSK and migraines was allowed to RTW without proper evaluation from the supervisor and the return-to-work coordinator. Upon returning to work, the manager received an ergonomic chair, but needed further accommodations. Tonia worked hard on this case to get the individual what they needed to be successful at work, but the manager </w:t>
      </w:r>
      <w:r w:rsidR="001E710F">
        <w:rPr>
          <w:sz w:val="23"/>
        </w:rPr>
        <w:t xml:space="preserve">repeatedly </w:t>
      </w:r>
      <w:r w:rsidRPr="00194143">
        <w:rPr>
          <w:sz w:val="23"/>
        </w:rPr>
        <w:t xml:space="preserve">stated she did not need anything other than </w:t>
      </w:r>
      <w:r w:rsidR="001E710F">
        <w:rPr>
          <w:sz w:val="23"/>
        </w:rPr>
        <w:t>the</w:t>
      </w:r>
      <w:r w:rsidRPr="00194143">
        <w:rPr>
          <w:sz w:val="23"/>
        </w:rPr>
        <w:t xml:space="preserve"> ergonomic chair. This is when Tonia realized she cannot work harder than the </w:t>
      </w:r>
      <w:r w:rsidR="00DF6F15">
        <w:rPr>
          <w:sz w:val="23"/>
        </w:rPr>
        <w:t xml:space="preserve">person she is trying to help. </w:t>
      </w:r>
      <w:r w:rsidRPr="00194143">
        <w:rPr>
          <w:sz w:val="23"/>
        </w:rPr>
        <w:t xml:space="preserve"> </w:t>
      </w:r>
    </w:p>
    <w:p w14:paraId="78C1BDD8" w14:textId="77777777" w:rsidR="001E710F" w:rsidRPr="001E710F" w:rsidRDefault="001E710F" w:rsidP="001E710F">
      <w:pPr>
        <w:pStyle w:val="ListParagraph"/>
        <w:tabs>
          <w:tab w:val="left" w:pos="479"/>
          <w:tab w:val="left" w:pos="480"/>
        </w:tabs>
        <w:spacing w:line="264" w:lineRule="auto"/>
        <w:ind w:left="450" w:right="176" w:firstLine="0"/>
      </w:pPr>
    </w:p>
    <w:p w14:paraId="51013229" w14:textId="7C4E5658" w:rsidR="00552F7D" w:rsidRDefault="001E710F" w:rsidP="004155AC">
      <w:pPr>
        <w:pStyle w:val="ListParagraph"/>
        <w:numPr>
          <w:ilvl w:val="0"/>
          <w:numId w:val="5"/>
        </w:numPr>
        <w:tabs>
          <w:tab w:val="left" w:pos="479"/>
          <w:tab w:val="left" w:pos="480"/>
        </w:tabs>
        <w:spacing w:line="264" w:lineRule="auto"/>
        <w:ind w:left="450" w:right="176"/>
      </w:pPr>
      <w:bookmarkStart w:id="10" w:name="_Hlk71550043"/>
      <w:r>
        <w:rPr>
          <w:sz w:val="23"/>
        </w:rPr>
        <w:t>Tonia stated that some people are resistant to change and do not want to change where others are stuck and know they need to change, but do not know how to. The customers who know they need to change are the ones participants will likely be spending most of their time with, and the one</w:t>
      </w:r>
      <w:r w:rsidR="00DB69CF">
        <w:rPr>
          <w:sz w:val="23"/>
        </w:rPr>
        <w:t>s</w:t>
      </w:r>
      <w:r>
        <w:rPr>
          <w:sz w:val="23"/>
        </w:rPr>
        <w:t xml:space="preserve"> in which participants can make the most impact. </w:t>
      </w:r>
    </w:p>
    <w:bookmarkEnd w:id="10"/>
    <w:p w14:paraId="0AF9D8DB" w14:textId="77777777" w:rsidR="00552F7D" w:rsidRDefault="00552F7D">
      <w:pPr>
        <w:spacing w:line="264" w:lineRule="auto"/>
      </w:pPr>
    </w:p>
    <w:p w14:paraId="28BD578F" w14:textId="77777777" w:rsidR="00552F7D" w:rsidRDefault="00552F7D">
      <w:pPr>
        <w:spacing w:line="264" w:lineRule="auto"/>
      </w:pPr>
    </w:p>
    <w:p w14:paraId="5D516118" w14:textId="3677B090" w:rsidR="00194143" w:rsidRDefault="00194143">
      <w:pPr>
        <w:spacing w:line="264" w:lineRule="auto"/>
        <w:sectPr w:rsidR="00194143">
          <w:footerReference w:type="default" r:id="rId8"/>
          <w:type w:val="continuous"/>
          <w:pgSz w:w="12240" w:h="15840"/>
          <w:pgMar w:top="720" w:right="980" w:bottom="940" w:left="960" w:header="720" w:footer="758" w:gutter="0"/>
          <w:pgNumType w:start="1"/>
          <w:cols w:space="720"/>
        </w:sectPr>
      </w:pPr>
    </w:p>
    <w:p w14:paraId="37BCE916" w14:textId="52ABA3A8" w:rsidR="00DF6F15" w:rsidRDefault="00DF6F15" w:rsidP="00DF6F15">
      <w:pPr>
        <w:pStyle w:val="Heading1"/>
        <w:ind w:left="0"/>
      </w:pPr>
      <w:r>
        <w:rPr>
          <w:color w:val="00396F"/>
        </w:rPr>
        <w:lastRenderedPageBreak/>
        <w:t>Key Takeaways</w:t>
      </w:r>
    </w:p>
    <w:p w14:paraId="6546D4B8" w14:textId="77777777" w:rsidR="00DF6F15" w:rsidRDefault="00DF6F15" w:rsidP="00DF6F15">
      <w:pPr>
        <w:pStyle w:val="Heading1"/>
        <w:ind w:left="0"/>
      </w:pPr>
    </w:p>
    <w:p w14:paraId="05B264DC" w14:textId="77777777" w:rsidR="00DF6F15" w:rsidRPr="00DF6F15" w:rsidRDefault="00DF6F15" w:rsidP="00DF6F15">
      <w:pPr>
        <w:pStyle w:val="ListParagraph"/>
        <w:numPr>
          <w:ilvl w:val="0"/>
          <w:numId w:val="5"/>
        </w:numPr>
        <w:tabs>
          <w:tab w:val="left" w:pos="479"/>
          <w:tab w:val="left" w:pos="480"/>
        </w:tabs>
        <w:spacing w:line="264" w:lineRule="auto"/>
        <w:ind w:left="450" w:right="176"/>
      </w:pPr>
      <w:r>
        <w:rPr>
          <w:sz w:val="23"/>
        </w:rPr>
        <w:t xml:space="preserve">One participant stated today’s CoP was very thought provoking, especially the comment about how you cannot work harder than the individual you are trying to help. </w:t>
      </w:r>
    </w:p>
    <w:p w14:paraId="63D8683F" w14:textId="1E2D206F" w:rsidR="00DF6F15" w:rsidRPr="00DF6F15" w:rsidRDefault="00DF6F15" w:rsidP="00DF6F15">
      <w:pPr>
        <w:pStyle w:val="ListParagraph"/>
        <w:numPr>
          <w:ilvl w:val="0"/>
          <w:numId w:val="5"/>
        </w:numPr>
        <w:tabs>
          <w:tab w:val="left" w:pos="479"/>
          <w:tab w:val="left" w:pos="480"/>
        </w:tabs>
        <w:spacing w:line="264" w:lineRule="auto"/>
        <w:ind w:left="450" w:right="176"/>
      </w:pPr>
      <w:r>
        <w:rPr>
          <w:sz w:val="23"/>
        </w:rPr>
        <w:t xml:space="preserve">Another stated she definitely believes there is a balance to working hard and listening and learning from the ones you are trying to help. </w:t>
      </w:r>
    </w:p>
    <w:p w14:paraId="336B7308" w14:textId="50776237" w:rsidR="00DF6F15" w:rsidRDefault="00DF6F15" w:rsidP="00DF6F15">
      <w:pPr>
        <w:pStyle w:val="ListParagraph"/>
        <w:numPr>
          <w:ilvl w:val="0"/>
          <w:numId w:val="5"/>
        </w:numPr>
        <w:tabs>
          <w:tab w:val="left" w:pos="479"/>
          <w:tab w:val="left" w:pos="480"/>
        </w:tabs>
        <w:spacing w:line="264" w:lineRule="auto"/>
        <w:ind w:left="450" w:right="176"/>
      </w:pPr>
      <w:r>
        <w:rPr>
          <w:sz w:val="23"/>
        </w:rPr>
        <w:t>Several other participants noted that they found the conversation to be enlightening</w:t>
      </w:r>
      <w:r w:rsidR="002818C0">
        <w:rPr>
          <w:sz w:val="23"/>
        </w:rPr>
        <w:t xml:space="preserve"> and that it was great to hear case studies from other states. </w:t>
      </w:r>
      <w:r>
        <w:rPr>
          <w:sz w:val="23"/>
        </w:rPr>
        <w:t xml:space="preserve">    </w:t>
      </w:r>
    </w:p>
    <w:p w14:paraId="6F6D0393" w14:textId="3F7E48BD" w:rsidR="00A93D57" w:rsidRPr="00DF6F15" w:rsidRDefault="00A93D57" w:rsidP="00DF6F15">
      <w:pPr>
        <w:tabs>
          <w:tab w:val="left" w:pos="479"/>
          <w:tab w:val="left" w:pos="480"/>
        </w:tabs>
        <w:rPr>
          <w:color w:val="00396F"/>
          <w:sz w:val="23"/>
        </w:rPr>
      </w:pPr>
    </w:p>
    <w:sectPr w:rsidR="00A93D57" w:rsidRPr="00DF6F15">
      <w:pgSz w:w="12240" w:h="15840"/>
      <w:pgMar w:top="1400" w:right="980" w:bottom="940" w:left="960" w:header="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30955" w14:textId="77777777" w:rsidR="0046474C" w:rsidRDefault="0046474C">
      <w:r>
        <w:separator/>
      </w:r>
    </w:p>
  </w:endnote>
  <w:endnote w:type="continuationSeparator" w:id="0">
    <w:p w14:paraId="1B85B66B" w14:textId="77777777" w:rsidR="0046474C" w:rsidRDefault="0046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94DB0" w14:textId="34C6F029" w:rsidR="00A93D57" w:rsidRDefault="001A79D0">
    <w:pPr>
      <w:pStyle w:val="BodyText"/>
      <w:spacing w:line="14" w:lineRule="auto"/>
      <w:rPr>
        <w:sz w:val="20"/>
      </w:rPr>
    </w:pPr>
    <w:r>
      <w:rPr>
        <w:noProof/>
      </w:rPr>
      <mc:AlternateContent>
        <mc:Choice Requires="wps">
          <w:drawing>
            <wp:anchor distT="0" distB="0" distL="114300" distR="114300" simplePos="0" relativeHeight="487443968" behindDoc="1" locked="0" layoutInCell="1" allowOverlap="1" wp14:anchorId="223506FF" wp14:editId="555B9098">
              <wp:simplePos x="0" y="0"/>
              <wp:positionH relativeFrom="page">
                <wp:posOffset>673100</wp:posOffset>
              </wp:positionH>
              <wp:positionV relativeFrom="page">
                <wp:posOffset>9437370</wp:posOffset>
              </wp:positionV>
              <wp:extent cx="694690"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B1937" w14:textId="77777777" w:rsidR="00A93D57" w:rsidRDefault="005868BF">
                          <w:pPr>
                            <w:spacing w:line="223" w:lineRule="exact"/>
                            <w:ind w:left="20"/>
                            <w:rPr>
                              <w:sz w:val="20"/>
                            </w:rPr>
                          </w:pPr>
                          <w:r>
                            <w:rPr>
                              <w:color w:val="00396F"/>
                              <w:sz w:val="20"/>
                            </w:rPr>
                            <w:t>RETAIN</w:t>
                          </w:r>
                          <w:r>
                            <w:rPr>
                              <w:color w:val="00396F"/>
                              <w:spacing w:val="-3"/>
                              <w:sz w:val="20"/>
                            </w:rPr>
                            <w:t xml:space="preserve"> </w:t>
                          </w:r>
                          <w:r>
                            <w:rPr>
                              <w:color w:val="00396F"/>
                              <w:sz w:val="20"/>
                            </w:rPr>
                            <w:t>|</w:t>
                          </w:r>
                          <w:r>
                            <w:rPr>
                              <w:color w:val="00396F"/>
                              <w:spacing w:val="-4"/>
                              <w:sz w:val="20"/>
                            </w:rPr>
                            <w:t xml:space="preserve"> </w:t>
                          </w:r>
                          <w:r>
                            <w:rPr>
                              <w:color w:val="00396F"/>
                              <w:sz w:val="20"/>
                            </w:rPr>
                            <w:t>AIR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23506FF" id="_x0000_t202" coordsize="21600,21600" o:spt="202" path="m,l,21600r21600,l21600,xe">
              <v:stroke joinstyle="miter"/>
              <v:path gradientshapeok="t" o:connecttype="rect"/>
            </v:shapetype>
            <v:shape id="Text Box 2" o:spid="_x0000_s1026" type="#_x0000_t202" style="position:absolute;margin-left:53pt;margin-top:743.1pt;width:54.7pt;height:12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YT6AEAALUDAAAOAAAAZHJzL2Uyb0RvYy54bWysU9tu2zAMfR+wfxD0vjjJumA14hRdiw4D&#10;ugvQ7gNoWbaF2aJGKbGzrx8lx1m3vhV7EWiSOjrnkN5ejX0nDpq8QVvI1WIphbYKK2ObQn5/vHvz&#10;XgofwFbQodWFPGovr3avX20Hl+s1tthVmgSDWJ8PrpBtCC7PMq9a3YNfoNOWizVSD4E/qckqgoHR&#10;+y5bL5ebbECqHKHS3nP2dirKXcKva63C17r2OoiukMwtpJPSWcYz220hbwhca9SJBryARQ/G8qNn&#10;qFsIIPZknkH1RhF6rMNCYZ9hXRulkwZWs1r+o+ahBaeTFjbHu7NN/v/Bqi+HbyRMVci3UljoeUSP&#10;egziA45iHd0ZnM+56cFxWxg5zVNOSr27R/XDC4s3LdhGXxPh0GqomN0q3syeXJ1wfAQph89Y8TOw&#10;D5iAxpr6aB2bIRidp3Q8TyZSUZzcXF5sLrmiuLR6t75YpsllkM+XHfnwUWMvYlBI4sEncDjc+xDJ&#10;QD63xLcs3pmuS8Pv7F8JboyZRD7ynZiHsRxPZpRYHVkG4bRLvPsctEi/pBh4jwrpf+6BtBTdJ8tW&#10;xKWbA5qDcg7AKr5ayCDFFN6EaTn3jkzTMvJktsVrtqs2SUr0dWJx4sm7kRSe9jgu39Pv1PXnb9v9&#10;BgAA//8DAFBLAwQUAAYACAAAACEAdN0eJeEAAAANAQAADwAAAGRycy9kb3ducmV2LnhtbEyPwU7D&#10;MBBE70j9B2srcaN2ojYqIU5VITghIdJw4OjEbmI1XofYbcPfs5zobWd3NPum2M1uYBczBetRQrIS&#10;wAy2XlvsJHzWrw9bYCEq1GrwaCT8mAC7cnFXqFz7K1bmcogdoxAMuZLQxzjmnIe2N06FlR8N0u3o&#10;J6ciyanjelJXCncDT4XIuFMW6UOvRvPcm/Z0ODsJ+y+sXuz3e/NRHStb148C37KTlPfLef8ELJo5&#10;/pvhD5/QoSSmxp9RBzaQFhl1iTSst1kKjCxpslkDa2i1SUQKvCz4bYvyFwAA//8DAFBLAQItABQA&#10;BgAIAAAAIQC2gziS/gAAAOEBAAATAAAAAAAAAAAAAAAAAAAAAABbQ29udGVudF9UeXBlc10ueG1s&#10;UEsBAi0AFAAGAAgAAAAhADj9If/WAAAAlAEAAAsAAAAAAAAAAAAAAAAALwEAAF9yZWxzLy5yZWxz&#10;UEsBAi0AFAAGAAgAAAAhAMJbBhPoAQAAtQMAAA4AAAAAAAAAAAAAAAAALgIAAGRycy9lMm9Eb2Mu&#10;eG1sUEsBAi0AFAAGAAgAAAAhAHTdHiXhAAAADQEAAA8AAAAAAAAAAAAAAAAAQgQAAGRycy9kb3du&#10;cmV2LnhtbFBLBQYAAAAABAAEAPMAAABQBQAAAAA=&#10;" filled="f" stroked="f">
              <v:textbox inset="0,0,0,0">
                <w:txbxContent>
                  <w:p w14:paraId="09EB1937" w14:textId="77777777" w:rsidR="00A93D57" w:rsidRDefault="005868BF">
                    <w:pPr>
                      <w:spacing w:line="223" w:lineRule="exact"/>
                      <w:ind w:left="20"/>
                      <w:rPr>
                        <w:sz w:val="20"/>
                      </w:rPr>
                    </w:pPr>
                    <w:r>
                      <w:rPr>
                        <w:color w:val="00396F"/>
                        <w:sz w:val="20"/>
                      </w:rPr>
                      <w:t>RETAIN</w:t>
                    </w:r>
                    <w:r>
                      <w:rPr>
                        <w:color w:val="00396F"/>
                        <w:spacing w:val="-3"/>
                        <w:sz w:val="20"/>
                      </w:rPr>
                      <w:t xml:space="preserve"> </w:t>
                    </w:r>
                    <w:r>
                      <w:rPr>
                        <w:color w:val="00396F"/>
                        <w:sz w:val="20"/>
                      </w:rPr>
                      <w:t>|</w:t>
                    </w:r>
                    <w:r>
                      <w:rPr>
                        <w:color w:val="00396F"/>
                        <w:spacing w:val="-4"/>
                        <w:sz w:val="20"/>
                      </w:rPr>
                      <w:t xml:space="preserve"> </w:t>
                    </w:r>
                    <w:r>
                      <w:rPr>
                        <w:color w:val="00396F"/>
                        <w:sz w:val="20"/>
                      </w:rPr>
                      <w:t>AIR</w:t>
                    </w:r>
                  </w:p>
                </w:txbxContent>
              </v:textbox>
              <w10:wrap anchorx="page" anchory="page"/>
            </v:shape>
          </w:pict>
        </mc:Fallback>
      </mc:AlternateContent>
    </w:r>
    <w:r>
      <w:rPr>
        <w:noProof/>
      </w:rPr>
      <mc:AlternateContent>
        <mc:Choice Requires="wps">
          <w:drawing>
            <wp:anchor distT="0" distB="0" distL="114300" distR="114300" simplePos="0" relativeHeight="487444480" behindDoc="1" locked="0" layoutInCell="1" allowOverlap="1" wp14:anchorId="675A2FDD" wp14:editId="057817B5">
              <wp:simplePos x="0" y="0"/>
              <wp:positionH relativeFrom="page">
                <wp:posOffset>6984365</wp:posOffset>
              </wp:positionH>
              <wp:positionV relativeFrom="page">
                <wp:posOffset>9437370</wp:posOffset>
              </wp:positionV>
              <wp:extent cx="1403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CAC72" w14:textId="77777777" w:rsidR="00A93D57" w:rsidRDefault="005868BF">
                          <w:pPr>
                            <w:spacing w:line="223" w:lineRule="exact"/>
                            <w:ind w:left="60"/>
                            <w:rPr>
                              <w:sz w:val="20"/>
                            </w:rPr>
                          </w:pPr>
                          <w:r>
                            <w:fldChar w:fldCharType="begin"/>
                          </w:r>
                          <w:r>
                            <w:rPr>
                              <w:color w:val="00396F"/>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75A2FDD" id="Text Box 1" o:spid="_x0000_s1027" type="#_x0000_t202" style="position:absolute;margin-left:549.95pt;margin-top:743.1pt;width:11.05pt;height:12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86AEAALwDAAAOAAAAZHJzL2Uyb0RvYy54bWysU8Fu1DAQvSPxD5bvbLLbFqFos1VpVYRU&#10;oFLLBziOnVjEHjP2brJ8PWNnsxS4IS7W2B6/ee/NeHs92YEdFAYDrubrVcmZchJa47qaf32+f/OO&#10;sxCFa8UATtX8qAK/3r1+tR19pTbQw9AqZATiQjX6mvcx+qooguyVFWEFXjm61IBWRNpiV7QoRkK3&#10;Q7Epy7fFCNh6BKlCoNO7+ZLvMr7WSsYvWgcV2VBz4hbzinlt0lrstqLqUPjeyBMN8Q8srDCOip6h&#10;7kQUbI/mLyhrJEIAHVcSbAFaG6myBlKzLv9Q89QLr7IWMif4s03h/8HKz4dHZKat+YYzJyy16FlN&#10;kb2Hia2TO6MPFSU9eUqLEx1Tl7PS4B9AfgvMwW0vXKduEGHslWiJXX5ZvHg644QE0oyfoKUyYh8h&#10;A00abbKOzGCETl06njuTqMhU8rK8uLjiTNLV+mpzWebOFaJaHnsM8YMCy1JQc6TGZ3BxeAiRZFDq&#10;kpJqObg3w5CbP7jfDigxnWTyie/MPE7NlF06e9JAeyQ1CPNI0RegoAf8wdlI41Tz8H0vUHE2fHTk&#10;SJq9JcAlaJZAOElPax45m8PbOM/o3qPpekKePXdwQ65pkxUle2cWJ7o0IlnoaZzTDL7c56xfn273&#10;EwAA//8DAFBLAwQUAAYACAAAACEAZoFgzOEAAAAPAQAADwAAAGRycy9kb3ducmV2LnhtbEyPwU7D&#10;MBBE70j8g7VI3KgdC6ImxKkqBCckRBoOHJ3YTaLG6xC7bfh7tid6m9E+zc4Um8WN7GTnMHhUkKwE&#10;MIutNwN2Cr7qt4c1sBA1Gj16tAp+bYBNeXtT6Nz4M1b2tIsdoxAMuVbQxzjlnIe2t06HlZ8s0m3v&#10;Z6cj2bnjZtZnCncjl0Kk3OkB6UOvJ/vS2/awOzoF22+sXoefj+az2ldDXWcC39ODUvd3y/YZWLRL&#10;/IfhUp+qQ0mdGn9EE9hIXmRZRiypx3UqgV2YREoa2JB6SoQEXhb8ekf5BwAA//8DAFBLAQItABQA&#10;BgAIAAAAIQC2gziS/gAAAOEBAAATAAAAAAAAAAAAAAAAAAAAAABbQ29udGVudF9UeXBlc10ueG1s&#10;UEsBAi0AFAAGAAgAAAAhADj9If/WAAAAlAEAAAsAAAAAAAAAAAAAAAAALwEAAF9yZWxzLy5yZWxz&#10;UEsBAi0AFAAGAAgAAAAhAIbD/LzoAQAAvAMAAA4AAAAAAAAAAAAAAAAALgIAAGRycy9lMm9Eb2Mu&#10;eG1sUEsBAi0AFAAGAAgAAAAhAGaBYMzhAAAADwEAAA8AAAAAAAAAAAAAAAAAQgQAAGRycy9kb3du&#10;cmV2LnhtbFBLBQYAAAAABAAEAPMAAABQBQAAAAA=&#10;" filled="f" stroked="f">
              <v:textbox inset="0,0,0,0">
                <w:txbxContent>
                  <w:p w14:paraId="0F2CAC72" w14:textId="77777777" w:rsidR="00A93D57" w:rsidRDefault="005868BF">
                    <w:pPr>
                      <w:spacing w:line="223" w:lineRule="exact"/>
                      <w:ind w:left="60"/>
                      <w:rPr>
                        <w:sz w:val="20"/>
                      </w:rPr>
                    </w:pPr>
                    <w:r>
                      <w:fldChar w:fldCharType="begin"/>
                    </w:r>
                    <w:r>
                      <w:rPr>
                        <w:color w:val="00396F"/>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4A305" w14:textId="77777777" w:rsidR="0046474C" w:rsidRDefault="0046474C">
      <w:r>
        <w:separator/>
      </w:r>
    </w:p>
  </w:footnote>
  <w:footnote w:type="continuationSeparator" w:id="0">
    <w:p w14:paraId="239CAACF" w14:textId="77777777" w:rsidR="0046474C" w:rsidRDefault="00464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32EC2"/>
    <w:multiLevelType w:val="hybridMultilevel"/>
    <w:tmpl w:val="0F2A2C54"/>
    <w:lvl w:ilvl="0" w:tplc="F230E314">
      <w:numFmt w:val="bullet"/>
      <w:lvlText w:val="•"/>
      <w:lvlJc w:val="left"/>
      <w:pPr>
        <w:ind w:left="480" w:hanging="360"/>
      </w:pPr>
      <w:rPr>
        <w:rFonts w:hint="default"/>
        <w:w w:val="100"/>
        <w:lang w:val="en-US" w:eastAsia="en-US" w:bidi="ar-SA"/>
      </w:rPr>
    </w:lvl>
    <w:lvl w:ilvl="1" w:tplc="07DE518C">
      <w:numFmt w:val="bullet"/>
      <w:lvlText w:val="–"/>
      <w:lvlJc w:val="left"/>
      <w:pPr>
        <w:ind w:left="839" w:hanging="360"/>
      </w:pPr>
      <w:rPr>
        <w:rFonts w:ascii="Calibri" w:eastAsia="Calibri" w:hAnsi="Calibri" w:cs="Calibri" w:hint="default"/>
        <w:color w:val="00396F"/>
        <w:w w:val="100"/>
        <w:sz w:val="23"/>
        <w:szCs w:val="23"/>
        <w:lang w:val="en-US" w:eastAsia="en-US" w:bidi="ar-SA"/>
      </w:rPr>
    </w:lvl>
    <w:lvl w:ilvl="2" w:tplc="C838936C">
      <w:numFmt w:val="bullet"/>
      <w:lvlText w:val="•"/>
      <w:lvlJc w:val="left"/>
      <w:pPr>
        <w:ind w:left="1891" w:hanging="360"/>
      </w:pPr>
      <w:rPr>
        <w:rFonts w:hint="default"/>
        <w:lang w:val="en-US" w:eastAsia="en-US" w:bidi="ar-SA"/>
      </w:rPr>
    </w:lvl>
    <w:lvl w:ilvl="3" w:tplc="3FFC1B8A">
      <w:numFmt w:val="bullet"/>
      <w:lvlText w:val="•"/>
      <w:lvlJc w:val="left"/>
      <w:pPr>
        <w:ind w:left="2942" w:hanging="360"/>
      </w:pPr>
      <w:rPr>
        <w:rFonts w:hint="default"/>
        <w:lang w:val="en-US" w:eastAsia="en-US" w:bidi="ar-SA"/>
      </w:rPr>
    </w:lvl>
    <w:lvl w:ilvl="4" w:tplc="E632C4FE">
      <w:numFmt w:val="bullet"/>
      <w:lvlText w:val="•"/>
      <w:lvlJc w:val="left"/>
      <w:pPr>
        <w:ind w:left="3993" w:hanging="360"/>
      </w:pPr>
      <w:rPr>
        <w:rFonts w:hint="default"/>
        <w:lang w:val="en-US" w:eastAsia="en-US" w:bidi="ar-SA"/>
      </w:rPr>
    </w:lvl>
    <w:lvl w:ilvl="5" w:tplc="D10895FE">
      <w:numFmt w:val="bullet"/>
      <w:lvlText w:val="•"/>
      <w:lvlJc w:val="left"/>
      <w:pPr>
        <w:ind w:left="5044" w:hanging="360"/>
      </w:pPr>
      <w:rPr>
        <w:rFonts w:hint="default"/>
        <w:lang w:val="en-US" w:eastAsia="en-US" w:bidi="ar-SA"/>
      </w:rPr>
    </w:lvl>
    <w:lvl w:ilvl="6" w:tplc="C228FEB8">
      <w:numFmt w:val="bullet"/>
      <w:lvlText w:val="•"/>
      <w:lvlJc w:val="left"/>
      <w:pPr>
        <w:ind w:left="6095" w:hanging="360"/>
      </w:pPr>
      <w:rPr>
        <w:rFonts w:hint="default"/>
        <w:lang w:val="en-US" w:eastAsia="en-US" w:bidi="ar-SA"/>
      </w:rPr>
    </w:lvl>
    <w:lvl w:ilvl="7" w:tplc="6E80C6CA">
      <w:numFmt w:val="bullet"/>
      <w:lvlText w:val="•"/>
      <w:lvlJc w:val="left"/>
      <w:pPr>
        <w:ind w:left="7146" w:hanging="360"/>
      </w:pPr>
      <w:rPr>
        <w:rFonts w:hint="default"/>
        <w:lang w:val="en-US" w:eastAsia="en-US" w:bidi="ar-SA"/>
      </w:rPr>
    </w:lvl>
    <w:lvl w:ilvl="8" w:tplc="A55EAB26">
      <w:numFmt w:val="bullet"/>
      <w:lvlText w:val="•"/>
      <w:lvlJc w:val="left"/>
      <w:pPr>
        <w:ind w:left="8197" w:hanging="360"/>
      </w:pPr>
      <w:rPr>
        <w:rFonts w:hint="default"/>
        <w:lang w:val="en-US" w:eastAsia="en-US" w:bidi="ar-SA"/>
      </w:rPr>
    </w:lvl>
  </w:abstractNum>
  <w:abstractNum w:abstractNumId="1" w15:restartNumberingAfterBreak="0">
    <w:nsid w:val="1D161513"/>
    <w:multiLevelType w:val="hybridMultilevel"/>
    <w:tmpl w:val="69D2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13D8"/>
    <w:multiLevelType w:val="hybridMultilevel"/>
    <w:tmpl w:val="F052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0373F"/>
    <w:multiLevelType w:val="hybridMultilevel"/>
    <w:tmpl w:val="67A8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92CA6"/>
    <w:multiLevelType w:val="hybridMultilevel"/>
    <w:tmpl w:val="0F1E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57"/>
    <w:rsid w:val="00194143"/>
    <w:rsid w:val="001A5A79"/>
    <w:rsid w:val="001A79D0"/>
    <w:rsid w:val="001E710F"/>
    <w:rsid w:val="00206279"/>
    <w:rsid w:val="002818C0"/>
    <w:rsid w:val="00334443"/>
    <w:rsid w:val="003E63DF"/>
    <w:rsid w:val="003E71BF"/>
    <w:rsid w:val="00447581"/>
    <w:rsid w:val="0046474C"/>
    <w:rsid w:val="004B3810"/>
    <w:rsid w:val="004D3F90"/>
    <w:rsid w:val="004F170F"/>
    <w:rsid w:val="00552F7D"/>
    <w:rsid w:val="005868BF"/>
    <w:rsid w:val="0060757F"/>
    <w:rsid w:val="006A7710"/>
    <w:rsid w:val="00771567"/>
    <w:rsid w:val="0078587D"/>
    <w:rsid w:val="0081515E"/>
    <w:rsid w:val="008D2E8B"/>
    <w:rsid w:val="009A4BEB"/>
    <w:rsid w:val="009A75E1"/>
    <w:rsid w:val="00A158D0"/>
    <w:rsid w:val="00A93D57"/>
    <w:rsid w:val="00AB65FD"/>
    <w:rsid w:val="00B70D03"/>
    <w:rsid w:val="00DB69CF"/>
    <w:rsid w:val="00DF6F15"/>
    <w:rsid w:val="00EB626E"/>
    <w:rsid w:val="00EE22D9"/>
    <w:rsid w:val="00F0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E3B69"/>
  <w15:docId w15:val="{8CFBFF0B-4691-4FA4-B147-8047EB62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ind w:left="119"/>
      <w:outlineLvl w:val="1"/>
    </w:pPr>
    <w:rPr>
      <w:b/>
      <w:bCs/>
      <w:i/>
      <w:sz w:val="26"/>
      <w:szCs w:val="26"/>
    </w:rPr>
  </w:style>
  <w:style w:type="paragraph" w:styleId="Heading3">
    <w:name w:val="heading 3"/>
    <w:basedOn w:val="Normal"/>
    <w:uiPriority w:val="9"/>
    <w:unhideWhenUsed/>
    <w:qFormat/>
    <w:pPr>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7"/>
      <w:ind w:left="120"/>
    </w:pPr>
    <w:rPr>
      <w:b/>
      <w:bCs/>
      <w:sz w:val="36"/>
      <w:szCs w:val="36"/>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5040</Characters>
  <Application>Microsoft Office Word</Application>
  <DocSecurity>0</DocSecurity>
  <Lines>66</Lines>
  <Paragraphs>23</Paragraphs>
  <ScaleCrop>false</ScaleCrop>
  <HeadingPairs>
    <vt:vector size="2" baseType="variant">
      <vt:variant>
        <vt:lpstr>Title</vt:lpstr>
      </vt:variant>
      <vt:variant>
        <vt:i4>1</vt:i4>
      </vt:variant>
    </vt:vector>
  </HeadingPairs>
  <TitlesOfParts>
    <vt:vector size="1" baseType="lpstr">
      <vt:lpstr>Community of Practice–Live Notes</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of Practice–Live Notes</dc:title>
  <dc:subject>The Impact of Mental Health in SAW/RTW</dc:subject>
  <dc:creator>Retaining Employment and Talent After Injury/Illness Network</dc:creator>
  <cp:keywords>RETAIN, TA, Session, mental health, injury, work experieince</cp:keywords>
  <cp:lastModifiedBy>Sanders, Zipporah</cp:lastModifiedBy>
  <cp:revision>2</cp:revision>
  <dcterms:created xsi:type="dcterms:W3CDTF">2021-05-11T13:50:00Z</dcterms:created>
  <dcterms:modified xsi:type="dcterms:W3CDTF">2021-05-11T13:50:00Z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Creator">
    <vt:lpwstr>Acrobat PDFMaker 20 for Word</vt:lpwstr>
  </property>
  <property fmtid="{D5CDD505-2E9C-101B-9397-08002B2CF9AE}" pid="4" name="LastSaved">
    <vt:filetime>2021-05-07T00:00:00Z</vt:filetime>
  </property>
</Properties>
</file>